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D99B" w14:textId="77777777" w:rsidR="0099781D" w:rsidRPr="00250005" w:rsidRDefault="0099781D">
      <w:pPr>
        <w:rPr>
          <w:rFonts w:asciiTheme="majorHAnsi" w:hAnsiTheme="majorHAnsi" w:cstheme="majorHAnsi"/>
        </w:rPr>
      </w:pPr>
    </w:p>
    <w:p w14:paraId="3E1D162E" w14:textId="77777777" w:rsidR="0099781D" w:rsidRPr="00250005" w:rsidRDefault="0099781D">
      <w:pPr>
        <w:rPr>
          <w:rFonts w:asciiTheme="majorHAnsi" w:hAnsiTheme="majorHAnsi" w:cstheme="majorHAnsi"/>
        </w:rPr>
      </w:pPr>
    </w:p>
    <w:p w14:paraId="7CE8BAC0" w14:textId="77777777" w:rsidR="0099781D" w:rsidRPr="00250005" w:rsidRDefault="00E17E57" w:rsidP="008E675E">
      <w:pPr>
        <w:jc w:val="center"/>
        <w:rPr>
          <w:rFonts w:asciiTheme="majorHAnsi" w:hAnsiTheme="majorHAnsi" w:cstheme="majorHAnsi"/>
        </w:rPr>
      </w:pPr>
      <w:r>
        <w:rPr>
          <w:rFonts w:asciiTheme="majorHAnsi" w:hAnsiTheme="majorHAnsi" w:cstheme="majorHAnsi"/>
          <w:noProof/>
        </w:rPr>
        <w:drawing>
          <wp:inline distT="0" distB="0" distL="0" distR="0" wp14:anchorId="61D46737" wp14:editId="50778410">
            <wp:extent cx="2415826" cy="1449238"/>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AP logo updated July 20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4003" cy="1484138"/>
                    </a:xfrm>
                    <a:prstGeom prst="rect">
                      <a:avLst/>
                    </a:prstGeom>
                  </pic:spPr>
                </pic:pic>
              </a:graphicData>
            </a:graphic>
          </wp:inline>
        </w:drawing>
      </w:r>
    </w:p>
    <w:p w14:paraId="07514201" w14:textId="09CA8764" w:rsidR="0099781D" w:rsidRPr="00D954D8" w:rsidRDefault="0099781D" w:rsidP="00D954D8">
      <w:pPr>
        <w:jc w:val="center"/>
        <w:rPr>
          <w:rFonts w:ascii="Arial Rounded MT Bold" w:hAnsi="Arial Rounded MT Bold" w:cs="ADLaM Display"/>
          <w:b/>
          <w:bCs/>
          <w:color w:val="808080" w:themeColor="background1" w:themeShade="80"/>
          <w:sz w:val="56"/>
          <w:szCs w:val="56"/>
        </w:rPr>
      </w:pPr>
    </w:p>
    <w:p w14:paraId="535DC35B" w14:textId="51A99771" w:rsidR="0099781D" w:rsidRPr="005F018D" w:rsidRDefault="00C24CF7" w:rsidP="00C90E4A">
      <w:pPr>
        <w:pStyle w:val="Heading1"/>
        <w:jc w:val="center"/>
      </w:pPr>
      <w:r>
        <w:t>20</w:t>
      </w:r>
      <w:r w:rsidR="00C567F4">
        <w:t>2</w:t>
      </w:r>
      <w:r w:rsidR="00E15FE6">
        <w:t>3</w:t>
      </w:r>
      <w:r w:rsidR="00F456B1" w:rsidRPr="005F018D">
        <w:t xml:space="preserve"> </w:t>
      </w:r>
      <w:r w:rsidR="0099781D" w:rsidRPr="005F018D">
        <w:t>Regional SO</w:t>
      </w:r>
      <w:r w:rsidR="0099781D" w:rsidRPr="005F018D">
        <w:rPr>
          <w:vertAlign w:val="subscript"/>
        </w:rPr>
        <w:t>2</w:t>
      </w:r>
      <w:r w:rsidR="0099781D" w:rsidRPr="005F018D">
        <w:t xml:space="preserve"> Emissions and Milestone Report</w:t>
      </w:r>
    </w:p>
    <w:p w14:paraId="4F1C4D3A" w14:textId="40A632A0" w:rsidR="0099781D" w:rsidRPr="00250005" w:rsidRDefault="0099781D">
      <w:pPr>
        <w:jc w:val="center"/>
        <w:outlineLvl w:val="0"/>
        <w:rPr>
          <w:rStyle w:val="Emphasis"/>
          <w:rFonts w:asciiTheme="minorHAnsi" w:hAnsiTheme="minorHAnsi"/>
        </w:rPr>
      </w:pPr>
    </w:p>
    <w:p w14:paraId="0BCB9BBD" w14:textId="77777777" w:rsidR="00470913" w:rsidRPr="00250005" w:rsidRDefault="00470913">
      <w:pPr>
        <w:jc w:val="center"/>
        <w:outlineLvl w:val="0"/>
        <w:rPr>
          <w:rStyle w:val="Emphasis"/>
          <w:rFonts w:asciiTheme="minorHAnsi" w:hAnsiTheme="minorHAnsi"/>
        </w:rPr>
      </w:pPr>
    </w:p>
    <w:p w14:paraId="1D226A31" w14:textId="77777777" w:rsidR="00470913" w:rsidRPr="00250005" w:rsidRDefault="00470913">
      <w:pPr>
        <w:jc w:val="center"/>
        <w:outlineLvl w:val="0"/>
        <w:rPr>
          <w:rStyle w:val="Emphasis"/>
          <w:rFonts w:asciiTheme="minorHAnsi" w:hAnsiTheme="minorHAnsi"/>
        </w:rPr>
      </w:pPr>
    </w:p>
    <w:tbl>
      <w:tblPr>
        <w:tblW w:w="9867" w:type="dxa"/>
        <w:jc w:val="center"/>
        <w:tblLook w:val="01E0" w:firstRow="1" w:lastRow="1" w:firstColumn="1" w:lastColumn="1" w:noHBand="0" w:noVBand="0"/>
      </w:tblPr>
      <w:tblGrid>
        <w:gridCol w:w="5322"/>
        <w:gridCol w:w="4545"/>
      </w:tblGrid>
      <w:tr w:rsidR="0099781D" w:rsidRPr="005F018D" w14:paraId="7AC49B0B" w14:textId="77777777" w:rsidTr="00C6042C">
        <w:trPr>
          <w:jc w:val="center"/>
        </w:trPr>
        <w:tc>
          <w:tcPr>
            <w:tcW w:w="5322" w:type="dxa"/>
          </w:tcPr>
          <w:p w14:paraId="4C50AD0C" w14:textId="77777777" w:rsidR="009B3591" w:rsidRPr="00250005" w:rsidRDefault="009B3591" w:rsidP="00250005">
            <w:pPr>
              <w:pStyle w:val="Heading2"/>
            </w:pPr>
            <w:r w:rsidRPr="00250005">
              <w:t>Wyoming</w:t>
            </w:r>
          </w:p>
          <w:p w14:paraId="4E0B77A1" w14:textId="7905D6BC" w:rsidR="009032C6" w:rsidRDefault="00863B55" w:rsidP="00470913">
            <w:pPr>
              <w:rPr>
                <w:rFonts w:cs="Microsoft Sans Serif"/>
                <w:szCs w:val="24"/>
              </w:rPr>
            </w:pPr>
            <w:r>
              <w:rPr>
                <w:rFonts w:cs="Microsoft Sans Serif"/>
                <w:szCs w:val="24"/>
              </w:rPr>
              <w:t>Nathan McNamara</w:t>
            </w:r>
          </w:p>
          <w:p w14:paraId="28F94643" w14:textId="77777777" w:rsidR="00C6042C" w:rsidRDefault="009B3591" w:rsidP="00470913">
            <w:pPr>
              <w:rPr>
                <w:rFonts w:cs="Microsoft Sans Serif"/>
                <w:szCs w:val="24"/>
              </w:rPr>
            </w:pPr>
            <w:r w:rsidRPr="005F018D">
              <w:rPr>
                <w:rFonts w:cs="Microsoft Sans Serif"/>
                <w:szCs w:val="24"/>
              </w:rPr>
              <w:t>Wyom</w:t>
            </w:r>
            <w:r w:rsidR="00470913">
              <w:rPr>
                <w:rFonts w:cs="Microsoft Sans Serif"/>
                <w:szCs w:val="24"/>
              </w:rPr>
              <w:t xml:space="preserve">ing Department of Environmental </w:t>
            </w:r>
            <w:r w:rsidRPr="005F018D">
              <w:rPr>
                <w:rFonts w:cs="Microsoft Sans Serif"/>
                <w:szCs w:val="24"/>
              </w:rPr>
              <w:t>Quality</w:t>
            </w:r>
          </w:p>
          <w:p w14:paraId="7E094BF5" w14:textId="77777777" w:rsidR="009032C6" w:rsidRDefault="009B3591" w:rsidP="00470913">
            <w:pPr>
              <w:rPr>
                <w:rFonts w:cs="Microsoft Sans Serif"/>
                <w:szCs w:val="24"/>
              </w:rPr>
            </w:pPr>
            <w:r w:rsidRPr="005F018D">
              <w:rPr>
                <w:rFonts w:cs="Microsoft Sans Serif"/>
                <w:szCs w:val="24"/>
              </w:rPr>
              <w:t>Air Quality Division</w:t>
            </w:r>
          </w:p>
          <w:p w14:paraId="45B3EB1E" w14:textId="77777777" w:rsidR="009B3591" w:rsidRPr="005F018D" w:rsidRDefault="00965223" w:rsidP="00470913">
            <w:pPr>
              <w:rPr>
                <w:rFonts w:cs="Microsoft Sans Serif"/>
                <w:szCs w:val="24"/>
              </w:rPr>
            </w:pPr>
            <w:r>
              <w:rPr>
                <w:rFonts w:cs="Microsoft Sans Serif"/>
                <w:szCs w:val="24"/>
              </w:rPr>
              <w:t>200 West 17</w:t>
            </w:r>
            <w:r w:rsidRPr="00965223">
              <w:rPr>
                <w:rFonts w:cs="Microsoft Sans Serif"/>
                <w:szCs w:val="24"/>
                <w:vertAlign w:val="superscript"/>
              </w:rPr>
              <w:t>th</w:t>
            </w:r>
            <w:r>
              <w:rPr>
                <w:rFonts w:cs="Microsoft Sans Serif"/>
                <w:szCs w:val="24"/>
              </w:rPr>
              <w:t xml:space="preserve"> Street, Suite 3</w:t>
            </w:r>
          </w:p>
          <w:p w14:paraId="224FB425" w14:textId="77777777" w:rsidR="009B3591" w:rsidRPr="005F018D" w:rsidRDefault="009B3591" w:rsidP="00470913">
            <w:pPr>
              <w:rPr>
                <w:rFonts w:cs="Microsoft Sans Serif"/>
                <w:szCs w:val="24"/>
              </w:rPr>
            </w:pPr>
            <w:r w:rsidRPr="005F018D">
              <w:rPr>
                <w:rFonts w:cs="Microsoft Sans Serif"/>
                <w:szCs w:val="24"/>
              </w:rPr>
              <w:t>Cheyenne, Wyoming 82002 </w:t>
            </w:r>
          </w:p>
          <w:p w14:paraId="66BEA58A" w14:textId="6801AC1F" w:rsidR="009032C6" w:rsidRPr="00863B55" w:rsidRDefault="009B3591" w:rsidP="00470913">
            <w:pPr>
              <w:rPr>
                <w:szCs w:val="24"/>
              </w:rPr>
            </w:pPr>
            <w:r w:rsidRPr="00470913">
              <w:rPr>
                <w:rFonts w:cs="Microsoft Sans Serif"/>
                <w:szCs w:val="24"/>
              </w:rPr>
              <w:t>Ph</w:t>
            </w:r>
            <w:r w:rsidRPr="00863B55">
              <w:rPr>
                <w:szCs w:val="24"/>
              </w:rPr>
              <w:t>one:</w:t>
            </w:r>
            <w:r w:rsidR="00BB5AF4" w:rsidRPr="00863B55">
              <w:rPr>
                <w:szCs w:val="24"/>
              </w:rPr>
              <w:t xml:space="preserve"> </w:t>
            </w:r>
            <w:r w:rsidRPr="00863B55">
              <w:rPr>
                <w:szCs w:val="24"/>
              </w:rPr>
              <w:t>307-777-</w:t>
            </w:r>
            <w:r w:rsidR="00863B55" w:rsidRPr="00863B55">
              <w:rPr>
                <w:szCs w:val="24"/>
              </w:rPr>
              <w:t>6126</w:t>
            </w:r>
          </w:p>
          <w:p w14:paraId="77BF708E" w14:textId="75042E25" w:rsidR="0099781D" w:rsidRPr="005F018D" w:rsidRDefault="00863B55" w:rsidP="009032C6">
            <w:pPr>
              <w:rPr>
                <w:szCs w:val="24"/>
              </w:rPr>
            </w:pPr>
            <w:hyperlink r:id="rId9" w:history="1">
              <w:r w:rsidRPr="00863B55">
                <w:rPr>
                  <w:rStyle w:val="Hyperlink"/>
                </w:rPr>
                <w:t>nathan.mcnamara@wyo.gov</w:t>
              </w:r>
            </w:hyperlink>
            <w:r w:rsidRPr="00863B55">
              <w:rPr>
                <w:rStyle w:val="Hyperlink"/>
              </w:rPr>
              <w:t xml:space="preserve"> </w:t>
            </w:r>
          </w:p>
        </w:tc>
        <w:tc>
          <w:tcPr>
            <w:tcW w:w="4545" w:type="dxa"/>
          </w:tcPr>
          <w:p w14:paraId="064DF94A" w14:textId="77777777" w:rsidR="0099781D" w:rsidRPr="004B2463" w:rsidRDefault="0099781D" w:rsidP="00250005">
            <w:pPr>
              <w:pStyle w:val="Heading2"/>
            </w:pPr>
            <w:r w:rsidRPr="004B2463">
              <w:t>Utah</w:t>
            </w:r>
          </w:p>
          <w:p w14:paraId="78614F8A" w14:textId="5B0D45E5" w:rsidR="00B64098" w:rsidRPr="004B2463" w:rsidRDefault="002B1947" w:rsidP="00470913">
            <w:pPr>
              <w:rPr>
                <w:szCs w:val="24"/>
              </w:rPr>
            </w:pPr>
            <w:r w:rsidRPr="004B2463">
              <w:rPr>
                <w:szCs w:val="24"/>
              </w:rPr>
              <w:t>Glade Sowards</w:t>
            </w:r>
          </w:p>
          <w:p w14:paraId="48356229" w14:textId="77777777" w:rsidR="0099781D" w:rsidRPr="005F018D" w:rsidRDefault="0099781D" w:rsidP="00470913">
            <w:pPr>
              <w:rPr>
                <w:szCs w:val="24"/>
              </w:rPr>
            </w:pPr>
            <w:r w:rsidRPr="005F018D">
              <w:rPr>
                <w:szCs w:val="24"/>
              </w:rPr>
              <w:t>Utah Department of Environmental Quality Division of Air Quality</w:t>
            </w:r>
          </w:p>
          <w:p w14:paraId="430390A4" w14:textId="77777777" w:rsidR="0099781D" w:rsidRPr="005F018D" w:rsidRDefault="003619BB" w:rsidP="00470913">
            <w:pPr>
              <w:rPr>
                <w:szCs w:val="24"/>
              </w:rPr>
            </w:pPr>
            <w:r w:rsidRPr="005F018D">
              <w:rPr>
                <w:szCs w:val="24"/>
              </w:rPr>
              <w:t xml:space="preserve">195 </w:t>
            </w:r>
            <w:r w:rsidR="0099781D" w:rsidRPr="005F018D">
              <w:rPr>
                <w:szCs w:val="24"/>
              </w:rPr>
              <w:t>North 1950 West</w:t>
            </w:r>
          </w:p>
          <w:p w14:paraId="7AD0C3EF" w14:textId="77777777" w:rsidR="0099781D" w:rsidRPr="005F018D" w:rsidRDefault="0099781D" w:rsidP="00470913">
            <w:pPr>
              <w:rPr>
                <w:szCs w:val="24"/>
              </w:rPr>
            </w:pPr>
            <w:r w:rsidRPr="005F018D">
              <w:rPr>
                <w:szCs w:val="24"/>
              </w:rPr>
              <w:t>Salt Lake City, UT 84114-4820</w:t>
            </w:r>
          </w:p>
          <w:p w14:paraId="35F9984B" w14:textId="3C065E05" w:rsidR="0099781D" w:rsidRPr="005F018D" w:rsidRDefault="0099781D" w:rsidP="00470913">
            <w:pPr>
              <w:rPr>
                <w:szCs w:val="24"/>
              </w:rPr>
            </w:pPr>
            <w:r w:rsidRPr="005F018D">
              <w:rPr>
                <w:szCs w:val="24"/>
              </w:rPr>
              <w:t>Phone:</w:t>
            </w:r>
            <w:r w:rsidR="00BB5AF4">
              <w:rPr>
                <w:szCs w:val="24"/>
              </w:rPr>
              <w:t xml:space="preserve"> </w:t>
            </w:r>
            <w:r w:rsidRPr="005F018D">
              <w:rPr>
                <w:szCs w:val="24"/>
              </w:rPr>
              <w:t>801-536-</w:t>
            </w:r>
            <w:r w:rsidR="00B64098">
              <w:rPr>
                <w:szCs w:val="24"/>
              </w:rPr>
              <w:t>40</w:t>
            </w:r>
            <w:r w:rsidR="00B75D9D">
              <w:rPr>
                <w:szCs w:val="24"/>
              </w:rPr>
              <w:t>00</w:t>
            </w:r>
          </w:p>
          <w:p w14:paraId="125FA834" w14:textId="29063DBE" w:rsidR="0099781D" w:rsidRPr="005F018D" w:rsidRDefault="00E15FE6" w:rsidP="00470913">
            <w:pPr>
              <w:rPr>
                <w:szCs w:val="24"/>
              </w:rPr>
            </w:pPr>
            <w:hyperlink r:id="rId10" w:history="1">
              <w:r w:rsidRPr="00B75082">
                <w:rPr>
                  <w:rStyle w:val="Hyperlink"/>
                </w:rPr>
                <w:t>gladesowards@utah.gov</w:t>
              </w:r>
            </w:hyperlink>
          </w:p>
        </w:tc>
      </w:tr>
      <w:tr w:rsidR="0099781D" w:rsidRPr="005F018D" w14:paraId="79818369" w14:textId="77777777" w:rsidTr="00C6042C">
        <w:trPr>
          <w:jc w:val="center"/>
        </w:trPr>
        <w:tc>
          <w:tcPr>
            <w:tcW w:w="5322" w:type="dxa"/>
          </w:tcPr>
          <w:p w14:paraId="637CF220" w14:textId="77777777" w:rsidR="0099781D" w:rsidRDefault="0099781D" w:rsidP="00470913">
            <w:pPr>
              <w:rPr>
                <w:szCs w:val="24"/>
                <w:u w:val="single"/>
              </w:rPr>
            </w:pPr>
          </w:p>
          <w:p w14:paraId="4B619CA7" w14:textId="77777777" w:rsidR="009032C6" w:rsidRPr="005F018D" w:rsidRDefault="009032C6" w:rsidP="00470913">
            <w:pPr>
              <w:rPr>
                <w:szCs w:val="24"/>
                <w:u w:val="single"/>
              </w:rPr>
            </w:pPr>
          </w:p>
          <w:p w14:paraId="7AC38323" w14:textId="77777777" w:rsidR="0099781D" w:rsidRPr="00250005" w:rsidRDefault="0099781D" w:rsidP="00250005">
            <w:pPr>
              <w:pStyle w:val="Heading2"/>
            </w:pPr>
            <w:r w:rsidRPr="00250005">
              <w:t>New Mexico</w:t>
            </w:r>
          </w:p>
          <w:p w14:paraId="398AD911" w14:textId="77777777" w:rsidR="009032C6" w:rsidRDefault="00451E0B" w:rsidP="00470913">
            <w:pPr>
              <w:rPr>
                <w:szCs w:val="24"/>
              </w:rPr>
            </w:pPr>
            <w:r>
              <w:rPr>
                <w:szCs w:val="24"/>
              </w:rPr>
              <w:t>Roslyn Higgin</w:t>
            </w:r>
          </w:p>
          <w:p w14:paraId="1EB624B0" w14:textId="77777777" w:rsidR="0099781D" w:rsidRPr="005F018D" w:rsidRDefault="0099781D" w:rsidP="00470913">
            <w:pPr>
              <w:rPr>
                <w:szCs w:val="24"/>
              </w:rPr>
            </w:pPr>
            <w:r w:rsidRPr="005F018D">
              <w:rPr>
                <w:szCs w:val="24"/>
              </w:rPr>
              <w:t xml:space="preserve">New Mexico Environment Department </w:t>
            </w:r>
          </w:p>
          <w:p w14:paraId="4CAA40AA" w14:textId="77777777" w:rsidR="009032C6" w:rsidRDefault="0099781D" w:rsidP="00470913">
            <w:pPr>
              <w:rPr>
                <w:szCs w:val="24"/>
              </w:rPr>
            </w:pPr>
            <w:r w:rsidRPr="005F018D">
              <w:rPr>
                <w:szCs w:val="24"/>
              </w:rPr>
              <w:t>Air Quality Bureau</w:t>
            </w:r>
          </w:p>
          <w:p w14:paraId="3A7F9399" w14:textId="77777777" w:rsidR="00ED00DA" w:rsidRDefault="00897C8B" w:rsidP="00470913">
            <w:pPr>
              <w:rPr>
                <w:szCs w:val="24"/>
              </w:rPr>
            </w:pPr>
            <w:r>
              <w:rPr>
                <w:szCs w:val="24"/>
              </w:rPr>
              <w:t xml:space="preserve">525 Camino de </w:t>
            </w:r>
            <w:proofErr w:type="spellStart"/>
            <w:r>
              <w:rPr>
                <w:szCs w:val="24"/>
              </w:rPr>
              <w:t>los</w:t>
            </w:r>
            <w:proofErr w:type="spellEnd"/>
            <w:r>
              <w:rPr>
                <w:szCs w:val="24"/>
              </w:rPr>
              <w:t xml:space="preserve"> Marquez, Suite 1</w:t>
            </w:r>
          </w:p>
          <w:p w14:paraId="4B4E2641" w14:textId="77777777" w:rsidR="0099781D" w:rsidRPr="005F018D" w:rsidRDefault="0099781D" w:rsidP="00470913">
            <w:pPr>
              <w:rPr>
                <w:szCs w:val="24"/>
              </w:rPr>
            </w:pPr>
            <w:r w:rsidRPr="005F018D">
              <w:rPr>
                <w:szCs w:val="24"/>
              </w:rPr>
              <w:t>Santa Fe, NM 8750</w:t>
            </w:r>
            <w:r w:rsidR="00897C8B">
              <w:rPr>
                <w:szCs w:val="24"/>
              </w:rPr>
              <w:t>5</w:t>
            </w:r>
          </w:p>
          <w:p w14:paraId="101E6502" w14:textId="77777777" w:rsidR="009032C6" w:rsidRDefault="0099781D" w:rsidP="009032C6">
            <w:pPr>
              <w:rPr>
                <w:szCs w:val="24"/>
              </w:rPr>
            </w:pPr>
            <w:r w:rsidRPr="005F018D">
              <w:rPr>
                <w:szCs w:val="24"/>
              </w:rPr>
              <w:t>Phone:</w:t>
            </w:r>
            <w:r w:rsidR="00BB5AF4">
              <w:rPr>
                <w:szCs w:val="24"/>
              </w:rPr>
              <w:t xml:space="preserve"> </w:t>
            </w:r>
            <w:r w:rsidRPr="005F018D">
              <w:rPr>
                <w:szCs w:val="24"/>
              </w:rPr>
              <w:t>505-</w:t>
            </w:r>
            <w:r w:rsidR="005E5D8A" w:rsidRPr="005F018D">
              <w:rPr>
                <w:szCs w:val="24"/>
              </w:rPr>
              <w:t>476-43</w:t>
            </w:r>
            <w:r w:rsidR="000D2C1C">
              <w:rPr>
                <w:szCs w:val="24"/>
              </w:rPr>
              <w:t>1</w:t>
            </w:r>
            <w:r w:rsidR="00451E0B">
              <w:rPr>
                <w:szCs w:val="24"/>
              </w:rPr>
              <w:t>9</w:t>
            </w:r>
          </w:p>
          <w:p w14:paraId="4E7E5D9C" w14:textId="3A161E80" w:rsidR="0099781D" w:rsidRPr="00451E0B" w:rsidRDefault="00A1322C" w:rsidP="009032C6">
            <w:hyperlink r:id="rId11" w:history="1">
              <w:r w:rsidRPr="006D0A0D">
                <w:rPr>
                  <w:rStyle w:val="Hyperlink"/>
                </w:rPr>
                <w:t>Roslyn.higgin@env.nm.gov</w:t>
              </w:r>
            </w:hyperlink>
          </w:p>
        </w:tc>
        <w:tc>
          <w:tcPr>
            <w:tcW w:w="4545" w:type="dxa"/>
          </w:tcPr>
          <w:p w14:paraId="60D9F5B9" w14:textId="77777777" w:rsidR="000D6829" w:rsidRDefault="000D6829" w:rsidP="00470913">
            <w:pPr>
              <w:rPr>
                <w:szCs w:val="24"/>
                <w:u w:val="single"/>
              </w:rPr>
            </w:pPr>
          </w:p>
          <w:p w14:paraId="24B4A20F" w14:textId="77777777" w:rsidR="009032C6" w:rsidRPr="005F018D" w:rsidRDefault="009032C6" w:rsidP="00470913">
            <w:pPr>
              <w:rPr>
                <w:szCs w:val="24"/>
                <w:u w:val="single"/>
              </w:rPr>
            </w:pPr>
          </w:p>
          <w:p w14:paraId="40B9E9D9" w14:textId="77777777" w:rsidR="0099781D" w:rsidRPr="00250005" w:rsidRDefault="005E5D8A" w:rsidP="00250005">
            <w:pPr>
              <w:pStyle w:val="Heading2"/>
            </w:pPr>
            <w:r w:rsidRPr="00250005">
              <w:t>A</w:t>
            </w:r>
            <w:r w:rsidR="000D6829" w:rsidRPr="00250005">
              <w:t>lbuquerque</w:t>
            </w:r>
            <w:r w:rsidR="00CE5599" w:rsidRPr="00250005">
              <w:t>-Bernalillo County</w:t>
            </w:r>
          </w:p>
          <w:p w14:paraId="374CFFDA" w14:textId="35C78005" w:rsidR="000D6829" w:rsidRPr="005F018D" w:rsidRDefault="00863B55" w:rsidP="00470913">
            <w:r w:rsidRPr="00863B55">
              <w:t>Allen Smith</w:t>
            </w:r>
          </w:p>
          <w:p w14:paraId="200015C1" w14:textId="77777777" w:rsidR="004A590D" w:rsidRPr="005F018D" w:rsidRDefault="004A590D" w:rsidP="00470913">
            <w:r w:rsidRPr="005F018D">
              <w:t>City of Albuquerque</w:t>
            </w:r>
          </w:p>
          <w:p w14:paraId="3E4F527F" w14:textId="77777777" w:rsidR="003442C3" w:rsidRDefault="000D6829" w:rsidP="00470913">
            <w:r w:rsidRPr="005F018D">
              <w:t>Environmental Health</w:t>
            </w:r>
            <w:r w:rsidR="003442C3">
              <w:t xml:space="preserve"> Department</w:t>
            </w:r>
          </w:p>
          <w:p w14:paraId="041CB39F" w14:textId="77777777" w:rsidR="009032C6" w:rsidRDefault="000D6829" w:rsidP="00470913">
            <w:r w:rsidRPr="005F018D">
              <w:t xml:space="preserve">Air Quality </w:t>
            </w:r>
            <w:r w:rsidR="003442C3">
              <w:t>Program</w:t>
            </w:r>
          </w:p>
          <w:p w14:paraId="5C239A4D" w14:textId="77777777" w:rsidR="009032C6" w:rsidRDefault="000D6829" w:rsidP="00470913">
            <w:r w:rsidRPr="005F018D">
              <w:t>P.O. Box 1293</w:t>
            </w:r>
          </w:p>
          <w:p w14:paraId="5CE35702" w14:textId="77777777" w:rsidR="0099781D" w:rsidRPr="005F018D" w:rsidRDefault="000D6829" w:rsidP="00470913">
            <w:r w:rsidRPr="005F018D">
              <w:t>Albuquerque, NM 87103</w:t>
            </w:r>
          </w:p>
          <w:p w14:paraId="188DDC2B" w14:textId="60D92E4B" w:rsidR="004A590D" w:rsidRPr="005F018D" w:rsidRDefault="004A590D" w:rsidP="00470913">
            <w:r w:rsidRPr="005F018D">
              <w:t>Phone:</w:t>
            </w:r>
            <w:r w:rsidR="00BB5AF4">
              <w:t xml:space="preserve"> </w:t>
            </w:r>
            <w:r w:rsidR="0014623B" w:rsidRPr="0014623B">
              <w:t>505</w:t>
            </w:r>
            <w:r w:rsidR="0014623B">
              <w:t>-</w:t>
            </w:r>
            <w:r w:rsidR="003A30B7">
              <w:t>768</w:t>
            </w:r>
            <w:r w:rsidR="00C147C1">
              <w:t>-</w:t>
            </w:r>
            <w:r w:rsidR="003A30B7">
              <w:t>26</w:t>
            </w:r>
            <w:r w:rsidR="00863B55">
              <w:t>37</w:t>
            </w:r>
          </w:p>
          <w:p w14:paraId="70DD6BE7" w14:textId="0B816884" w:rsidR="003A30B7" w:rsidRPr="003A30B7" w:rsidRDefault="00863B55" w:rsidP="009032C6">
            <w:hyperlink r:id="rId12" w:history="1">
              <w:r w:rsidRPr="005562DC">
                <w:rPr>
                  <w:rStyle w:val="Hyperlink"/>
                </w:rPr>
                <w:t>morgansmith@cabq.gov</w:t>
              </w:r>
            </w:hyperlink>
          </w:p>
        </w:tc>
      </w:tr>
      <w:tr w:rsidR="00863B55" w:rsidRPr="005F018D" w14:paraId="6FE3D722" w14:textId="77777777" w:rsidTr="00C6042C">
        <w:trPr>
          <w:jc w:val="center"/>
        </w:trPr>
        <w:tc>
          <w:tcPr>
            <w:tcW w:w="5322" w:type="dxa"/>
          </w:tcPr>
          <w:p w14:paraId="7EE214E4" w14:textId="77777777" w:rsidR="00863B55" w:rsidRDefault="00863B55" w:rsidP="00470913">
            <w:pPr>
              <w:rPr>
                <w:szCs w:val="24"/>
                <w:u w:val="single"/>
              </w:rPr>
            </w:pPr>
          </w:p>
        </w:tc>
        <w:tc>
          <w:tcPr>
            <w:tcW w:w="4545" w:type="dxa"/>
          </w:tcPr>
          <w:p w14:paraId="42486F55" w14:textId="77777777" w:rsidR="00863B55" w:rsidRDefault="00863B55" w:rsidP="00470913">
            <w:pPr>
              <w:rPr>
                <w:szCs w:val="24"/>
                <w:u w:val="single"/>
              </w:rPr>
            </w:pPr>
          </w:p>
        </w:tc>
      </w:tr>
    </w:tbl>
    <w:p w14:paraId="789B5524" w14:textId="77777777" w:rsidR="0099781D" w:rsidRPr="005F018D" w:rsidRDefault="0099781D">
      <w:r w:rsidRPr="005F018D">
        <w:br w:type="page"/>
      </w:r>
    </w:p>
    <w:p w14:paraId="7A1E4BF9" w14:textId="77777777" w:rsidR="0099781D" w:rsidRPr="005F018D" w:rsidRDefault="0099781D">
      <w:pPr>
        <w:sectPr w:rsidR="0099781D" w:rsidRPr="005F018D" w:rsidSect="00CD1084">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lowerLetter"/>
          </w:endnotePr>
          <w:type w:val="continuous"/>
          <w:pgSz w:w="12240" w:h="15840" w:code="1"/>
          <w:pgMar w:top="720" w:right="1440" w:bottom="720" w:left="1440" w:header="720" w:footer="720" w:gutter="0"/>
          <w:pgNumType w:start="1"/>
          <w:cols w:space="720"/>
          <w:titlePg/>
        </w:sectPr>
      </w:pPr>
    </w:p>
    <w:p w14:paraId="77558012" w14:textId="77777777" w:rsidR="0099781D" w:rsidRPr="005F018D" w:rsidRDefault="0099781D">
      <w:pPr>
        <w:jc w:val="center"/>
        <w:rPr>
          <w:b/>
          <w:szCs w:val="24"/>
        </w:rPr>
      </w:pPr>
    </w:p>
    <w:p w14:paraId="261F330B" w14:textId="5FE54A5F" w:rsidR="0099781D" w:rsidRPr="005F018D" w:rsidRDefault="0018033D" w:rsidP="00C90E4A">
      <w:pPr>
        <w:pStyle w:val="Heading1"/>
        <w:jc w:val="center"/>
      </w:pPr>
      <w:r>
        <w:t>20</w:t>
      </w:r>
      <w:r w:rsidR="00C567F4">
        <w:t>2</w:t>
      </w:r>
      <w:r w:rsidR="00E15FE6">
        <w:t>3</w:t>
      </w:r>
      <w:r w:rsidR="00F456B1" w:rsidRPr="005F018D">
        <w:t xml:space="preserve"> </w:t>
      </w:r>
      <w:r w:rsidR="0099781D" w:rsidRPr="005F018D">
        <w:t>Regional SO</w:t>
      </w:r>
      <w:r w:rsidR="0099781D" w:rsidRPr="005F018D">
        <w:rPr>
          <w:vertAlign w:val="subscript"/>
        </w:rPr>
        <w:t>2</w:t>
      </w:r>
      <w:r w:rsidR="0099781D" w:rsidRPr="005F018D">
        <w:t xml:space="preserve"> Emissions and Milestone Report</w:t>
      </w:r>
    </w:p>
    <w:p w14:paraId="15F5F441" w14:textId="77777777" w:rsidR="0099781D" w:rsidRPr="005F018D" w:rsidRDefault="0099781D" w:rsidP="00C90E4A">
      <w:pPr>
        <w:pStyle w:val="Heading2"/>
        <w:rPr>
          <w:szCs w:val="24"/>
        </w:rPr>
      </w:pPr>
      <w:r w:rsidRPr="005F018D">
        <w:t>Executive Summary</w:t>
      </w:r>
    </w:p>
    <w:p w14:paraId="17A8317D" w14:textId="6E634C9D" w:rsidR="0099781D" w:rsidRPr="00CC6F12" w:rsidRDefault="009A0811" w:rsidP="004A0C4C">
      <w:pPr>
        <w:spacing w:after="200"/>
        <w:ind w:firstLine="720"/>
        <w:rPr>
          <w:rFonts w:asciiTheme="minorHAnsi" w:hAnsiTheme="minorHAnsi"/>
        </w:rPr>
      </w:pPr>
      <w:r>
        <w:rPr>
          <w:noProof/>
        </w:rPr>
        <w:drawing>
          <wp:anchor distT="0" distB="0" distL="114300" distR="114300" simplePos="0" relativeHeight="251658240" behindDoc="0" locked="0" layoutInCell="1" allowOverlap="1" wp14:anchorId="4CBA12BC" wp14:editId="74A9D49B">
            <wp:simplePos x="0" y="0"/>
            <wp:positionH relativeFrom="margin">
              <wp:posOffset>1931670</wp:posOffset>
            </wp:positionH>
            <wp:positionV relativeFrom="margin">
              <wp:posOffset>3669665</wp:posOffset>
            </wp:positionV>
            <wp:extent cx="4389120" cy="3180080"/>
            <wp:effectExtent l="0" t="0" r="11430" b="1270"/>
            <wp:wrapSquare wrapText="bothSides"/>
            <wp:docPr id="437029187" name="Chart 1">
              <a:extLst xmlns:a="http://schemas.openxmlformats.org/drawingml/2006/main">
                <a:ext uri="{FF2B5EF4-FFF2-40B4-BE49-F238E27FC236}">
                  <a16:creationId xmlns:a16="http://schemas.microsoft.com/office/drawing/2014/main" id="{00000000-0008-0000-0000-00009F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99781D" w:rsidRPr="00CC6F12">
        <w:rPr>
          <w:rFonts w:asciiTheme="minorHAnsi" w:hAnsiTheme="minorHAnsi"/>
        </w:rPr>
        <w:t>Under Section 309 of the Federal Regional Haze Rule, nine western states</w:t>
      </w:r>
      <w:r w:rsidR="004A0C4C">
        <w:rPr>
          <w:rFonts w:asciiTheme="minorHAnsi" w:hAnsiTheme="minorHAnsi"/>
        </w:rPr>
        <w:t>,</w:t>
      </w:r>
      <w:r w:rsidR="0099781D" w:rsidRPr="00CC6F12">
        <w:rPr>
          <w:rFonts w:asciiTheme="minorHAnsi" w:hAnsiTheme="minorHAnsi"/>
        </w:rPr>
        <w:t xml:space="preserve"> and tribes within those states</w:t>
      </w:r>
      <w:r w:rsidR="004A0C4C">
        <w:rPr>
          <w:rFonts w:asciiTheme="minorHAnsi" w:hAnsiTheme="minorHAnsi"/>
        </w:rPr>
        <w:t>,</w:t>
      </w:r>
      <w:r w:rsidR="0099781D" w:rsidRPr="00CC6F12">
        <w:rPr>
          <w:rFonts w:asciiTheme="minorHAnsi" w:hAnsiTheme="minorHAnsi"/>
        </w:rPr>
        <w:t xml:space="preserve"> have the option of submitting plans to reduce regional haze emissions that impair visibility at 16 Class I areas on the Colorado Plateau.</w:t>
      </w:r>
      <w:r w:rsidR="00BB5AF4" w:rsidRPr="00CC6F12">
        <w:rPr>
          <w:rFonts w:asciiTheme="minorHAnsi" w:hAnsiTheme="minorHAnsi"/>
        </w:rPr>
        <w:t xml:space="preserve"> </w:t>
      </w:r>
      <w:r w:rsidR="0099781D" w:rsidRPr="00CC6F12">
        <w:rPr>
          <w:rFonts w:asciiTheme="minorHAnsi" w:hAnsiTheme="minorHAnsi"/>
        </w:rPr>
        <w:t xml:space="preserve">Five states </w:t>
      </w:r>
      <w:r w:rsidR="004537F2">
        <w:rPr>
          <w:rFonts w:asciiTheme="minorHAnsi" w:hAnsiTheme="minorHAnsi"/>
        </w:rPr>
        <w:softHyphen/>
      </w:r>
      <w:r w:rsidR="004537F2">
        <w:rPr>
          <w:rFonts w:asciiTheme="minorHAnsi" w:hAnsiTheme="minorHAnsi"/>
        </w:rPr>
        <w:softHyphen/>
        <w:t xml:space="preserve">– </w:t>
      </w:r>
      <w:r w:rsidR="0099781D" w:rsidRPr="00CC6F12">
        <w:rPr>
          <w:rFonts w:asciiTheme="minorHAnsi" w:hAnsiTheme="minorHAnsi"/>
        </w:rPr>
        <w:t>Arizona, New Mexi</w:t>
      </w:r>
      <w:r w:rsidR="004537F2">
        <w:rPr>
          <w:rFonts w:asciiTheme="minorHAnsi" w:hAnsiTheme="minorHAnsi"/>
        </w:rPr>
        <w:t>co, Oregon, Utah, and Wyoming –</w:t>
      </w:r>
      <w:r w:rsidR="005E5D8A" w:rsidRPr="00CC6F12">
        <w:rPr>
          <w:rFonts w:asciiTheme="minorHAnsi" w:hAnsiTheme="minorHAnsi"/>
        </w:rPr>
        <w:t xml:space="preserve"> and </w:t>
      </w:r>
      <w:r w:rsidR="00CE5599" w:rsidRPr="00CC6F12">
        <w:rPr>
          <w:rFonts w:asciiTheme="minorHAnsi" w:hAnsiTheme="minorHAnsi"/>
        </w:rPr>
        <w:t>Albuquerque-Bernalillo County</w:t>
      </w:r>
      <w:r w:rsidR="0099781D" w:rsidRPr="00CC6F12">
        <w:rPr>
          <w:rFonts w:asciiTheme="minorHAnsi" w:hAnsiTheme="minorHAnsi"/>
        </w:rPr>
        <w:t xml:space="preserve"> initially exercised this option by submitting plans to </w:t>
      </w:r>
      <w:r w:rsidR="004A0C4C">
        <w:rPr>
          <w:rFonts w:asciiTheme="minorHAnsi" w:hAnsiTheme="minorHAnsi"/>
        </w:rPr>
        <w:t>the Environmental Protection Agency (</w:t>
      </w:r>
      <w:r w:rsidR="0099781D" w:rsidRPr="00CC6F12">
        <w:rPr>
          <w:rFonts w:asciiTheme="minorHAnsi" w:hAnsiTheme="minorHAnsi"/>
        </w:rPr>
        <w:t>EPA</w:t>
      </w:r>
      <w:r w:rsidR="004A0C4C">
        <w:rPr>
          <w:rFonts w:asciiTheme="minorHAnsi" w:hAnsiTheme="minorHAnsi"/>
        </w:rPr>
        <w:t>)</w:t>
      </w:r>
      <w:r w:rsidR="0099781D" w:rsidRPr="00CC6F12">
        <w:rPr>
          <w:rFonts w:asciiTheme="minorHAnsi" w:hAnsiTheme="minorHAnsi"/>
        </w:rPr>
        <w:t xml:space="preserve"> by December 31, 2003.</w:t>
      </w:r>
      <w:r w:rsidR="00BB5AF4" w:rsidRPr="00CC6F12">
        <w:rPr>
          <w:rFonts w:asciiTheme="minorHAnsi" w:hAnsiTheme="minorHAnsi"/>
        </w:rPr>
        <w:t xml:space="preserve"> </w:t>
      </w:r>
      <w:r w:rsidR="0099781D" w:rsidRPr="00CC6F12">
        <w:rPr>
          <w:rFonts w:asciiTheme="minorHAnsi" w:hAnsiTheme="minorHAnsi"/>
        </w:rPr>
        <w:t>Oregon elected to cease participation in the program in 2006</w:t>
      </w:r>
      <w:r w:rsidR="009B3591" w:rsidRPr="00CC6F12">
        <w:rPr>
          <w:rFonts w:asciiTheme="minorHAnsi" w:hAnsiTheme="minorHAnsi"/>
        </w:rPr>
        <w:t xml:space="preserve"> and Arizona elected to cease participation in 2010</w:t>
      </w:r>
      <w:r w:rsidR="0099781D" w:rsidRPr="00CC6F12">
        <w:rPr>
          <w:rFonts w:asciiTheme="minorHAnsi" w:hAnsiTheme="minorHAnsi"/>
        </w:rPr>
        <w:t>.</w:t>
      </w:r>
      <w:r w:rsidR="00BB5AF4" w:rsidRPr="00CC6F12">
        <w:rPr>
          <w:rFonts w:asciiTheme="minorHAnsi" w:hAnsiTheme="minorHAnsi"/>
        </w:rPr>
        <w:t xml:space="preserve"> </w:t>
      </w:r>
      <w:r w:rsidR="0099781D" w:rsidRPr="00CC6F12">
        <w:rPr>
          <w:rFonts w:asciiTheme="minorHAnsi" w:hAnsiTheme="minorHAnsi"/>
        </w:rPr>
        <w:t>The tribes were not subject to the deadline and still can opt into the program at any</w:t>
      </w:r>
      <w:r w:rsidR="005E5D8A" w:rsidRPr="00CC6F12">
        <w:rPr>
          <w:rFonts w:asciiTheme="minorHAnsi" w:hAnsiTheme="minorHAnsi"/>
        </w:rPr>
        <w:t xml:space="preserve"> </w:t>
      </w:r>
      <w:r w:rsidR="0099781D" w:rsidRPr="00CC6F12">
        <w:rPr>
          <w:rFonts w:asciiTheme="minorHAnsi" w:hAnsiTheme="minorHAnsi"/>
        </w:rPr>
        <w:t>time.</w:t>
      </w:r>
      <w:r w:rsidR="00BB5AF4" w:rsidRPr="00CC6F12">
        <w:rPr>
          <w:rFonts w:asciiTheme="minorHAnsi" w:hAnsiTheme="minorHAnsi"/>
        </w:rPr>
        <w:t xml:space="preserve"> </w:t>
      </w:r>
      <w:r w:rsidR="0099781D" w:rsidRPr="00CC6F12">
        <w:rPr>
          <w:rFonts w:asciiTheme="minorHAnsi" w:hAnsiTheme="minorHAnsi"/>
        </w:rPr>
        <w:t xml:space="preserve">Under the Section 309 plans, the </w:t>
      </w:r>
      <w:r w:rsidR="009B3591" w:rsidRPr="00CC6F12">
        <w:rPr>
          <w:rFonts w:asciiTheme="minorHAnsi" w:hAnsiTheme="minorHAnsi"/>
        </w:rPr>
        <w:t xml:space="preserve">three </w:t>
      </w:r>
      <w:r w:rsidR="0099781D" w:rsidRPr="00CC6F12">
        <w:rPr>
          <w:rFonts w:asciiTheme="minorHAnsi" w:hAnsiTheme="minorHAnsi"/>
        </w:rPr>
        <w:t>participating states</w:t>
      </w:r>
      <w:r w:rsidR="005E5D8A" w:rsidRPr="00CC6F12">
        <w:rPr>
          <w:rFonts w:asciiTheme="minorHAnsi" w:hAnsiTheme="minorHAnsi"/>
        </w:rPr>
        <w:t xml:space="preserve"> and </w:t>
      </w:r>
      <w:r w:rsidR="00CE5599" w:rsidRPr="00CC6F12">
        <w:rPr>
          <w:rFonts w:asciiTheme="minorHAnsi" w:hAnsiTheme="minorHAnsi"/>
        </w:rPr>
        <w:t>Albuquerque-Bernalillo County</w:t>
      </w:r>
      <w:r w:rsidR="0099781D" w:rsidRPr="00CC6F12">
        <w:rPr>
          <w:rFonts w:asciiTheme="minorHAnsi" w:hAnsiTheme="minorHAnsi"/>
        </w:rPr>
        <w:t xml:space="preserve"> have tracked the emissions of the applicable stationary sources as part of the pre-trigger portion of the SO</w:t>
      </w:r>
      <w:r w:rsidR="0099781D" w:rsidRPr="00CC6F12">
        <w:rPr>
          <w:rFonts w:asciiTheme="minorHAnsi" w:hAnsiTheme="minorHAnsi"/>
          <w:vertAlign w:val="subscript"/>
        </w:rPr>
        <w:t>2</w:t>
      </w:r>
      <w:r w:rsidR="0099781D" w:rsidRPr="00CC6F12">
        <w:rPr>
          <w:rFonts w:asciiTheme="minorHAnsi" w:hAnsiTheme="minorHAnsi"/>
        </w:rPr>
        <w:t xml:space="preserve"> Milestone and Backstop Trading Program.</w:t>
      </w:r>
      <w:r w:rsidR="00BB5AF4" w:rsidRPr="00CC6F12">
        <w:rPr>
          <w:rFonts w:asciiTheme="minorHAnsi" w:hAnsiTheme="minorHAnsi"/>
        </w:rPr>
        <w:t xml:space="preserve"> </w:t>
      </w:r>
      <w:r w:rsidR="0099781D" w:rsidRPr="00CC6F12">
        <w:rPr>
          <w:rFonts w:asciiTheme="minorHAnsi" w:hAnsiTheme="minorHAnsi"/>
        </w:rPr>
        <w:t>The Western Regional Air Partnership (WRAP) is assisting these states</w:t>
      </w:r>
      <w:r w:rsidR="005E5D8A" w:rsidRPr="00CC6F12">
        <w:rPr>
          <w:rFonts w:asciiTheme="minorHAnsi" w:hAnsiTheme="minorHAnsi"/>
        </w:rPr>
        <w:t xml:space="preserve"> and c</w:t>
      </w:r>
      <w:r w:rsidR="007B0632">
        <w:rPr>
          <w:rFonts w:asciiTheme="minorHAnsi" w:hAnsiTheme="minorHAnsi"/>
        </w:rPr>
        <w:t>oun</w:t>
      </w:r>
      <w:r w:rsidR="005E5D8A" w:rsidRPr="00CC6F12">
        <w:rPr>
          <w:rFonts w:asciiTheme="minorHAnsi" w:hAnsiTheme="minorHAnsi"/>
        </w:rPr>
        <w:t>ty</w:t>
      </w:r>
      <w:r w:rsidR="0099781D" w:rsidRPr="00CC6F12">
        <w:rPr>
          <w:rFonts w:asciiTheme="minorHAnsi" w:hAnsiTheme="minorHAnsi"/>
        </w:rPr>
        <w:t xml:space="preserve"> with the implementation and management of the regional emission reduction program.</w:t>
      </w:r>
      <w:r w:rsidR="004A0CC1" w:rsidRPr="00CC6F12">
        <w:rPr>
          <w:rFonts w:asciiTheme="minorHAnsi" w:hAnsiTheme="minorHAnsi"/>
        </w:rPr>
        <w:t xml:space="preserve"> As used in this document, </w:t>
      </w:r>
      <w:r w:rsidR="002845E9" w:rsidRPr="00CC6F12">
        <w:rPr>
          <w:rFonts w:asciiTheme="minorHAnsi" w:hAnsiTheme="minorHAnsi"/>
        </w:rPr>
        <w:t>“</w:t>
      </w:r>
      <w:r w:rsidR="004A0CC1" w:rsidRPr="00CC6F12">
        <w:rPr>
          <w:rFonts w:asciiTheme="minorHAnsi" w:hAnsiTheme="minorHAnsi"/>
        </w:rPr>
        <w:t>Section 309 states</w:t>
      </w:r>
      <w:r w:rsidR="002845E9" w:rsidRPr="00CC6F12">
        <w:rPr>
          <w:rFonts w:asciiTheme="minorHAnsi" w:hAnsiTheme="minorHAnsi"/>
        </w:rPr>
        <w:t>”</w:t>
      </w:r>
      <w:r w:rsidR="004A0CC1" w:rsidRPr="00CC6F12">
        <w:rPr>
          <w:rFonts w:asciiTheme="minorHAnsi" w:hAnsiTheme="minorHAnsi"/>
        </w:rPr>
        <w:t xml:space="preserve"> means New Mexico, Utah</w:t>
      </w:r>
      <w:r w:rsidR="000B1958" w:rsidRPr="00CC6F12">
        <w:rPr>
          <w:rFonts w:asciiTheme="minorHAnsi" w:hAnsiTheme="minorHAnsi"/>
        </w:rPr>
        <w:t>,</w:t>
      </w:r>
      <w:r w:rsidR="004A0CC1" w:rsidRPr="00CC6F12">
        <w:rPr>
          <w:rFonts w:asciiTheme="minorHAnsi" w:hAnsiTheme="minorHAnsi"/>
        </w:rPr>
        <w:t xml:space="preserve"> Wyoming</w:t>
      </w:r>
      <w:r w:rsidR="00D12EEE">
        <w:rPr>
          <w:rFonts w:asciiTheme="minorHAnsi" w:hAnsiTheme="minorHAnsi"/>
        </w:rPr>
        <w:t>,</w:t>
      </w:r>
      <w:r w:rsidR="004A0CC1" w:rsidRPr="00CC6F12">
        <w:rPr>
          <w:rFonts w:asciiTheme="minorHAnsi" w:hAnsiTheme="minorHAnsi"/>
        </w:rPr>
        <w:t xml:space="preserve"> and </w:t>
      </w:r>
      <w:r w:rsidR="00CE5599" w:rsidRPr="00CC6F12">
        <w:rPr>
          <w:rFonts w:asciiTheme="minorHAnsi" w:hAnsiTheme="minorHAnsi"/>
        </w:rPr>
        <w:t>Albuquerque-Bernalillo County</w:t>
      </w:r>
      <w:r w:rsidR="00A204C2" w:rsidRPr="00CC6F12">
        <w:rPr>
          <w:rFonts w:asciiTheme="minorHAnsi" w:hAnsiTheme="minorHAnsi"/>
        </w:rPr>
        <w:t>. (For CAA purposes,</w:t>
      </w:r>
      <w:r w:rsidR="000F5F95">
        <w:rPr>
          <w:rFonts w:asciiTheme="minorHAnsi" w:hAnsiTheme="minorHAnsi"/>
        </w:rPr>
        <w:t xml:space="preserve"> this report treats </w:t>
      </w:r>
      <w:r w:rsidR="000F5F95" w:rsidRPr="00CC6F12">
        <w:rPr>
          <w:rFonts w:asciiTheme="minorHAnsi" w:hAnsiTheme="minorHAnsi"/>
        </w:rPr>
        <w:t>Albuquerque</w:t>
      </w:r>
      <w:r w:rsidR="00A204C2" w:rsidRPr="00CC6F12">
        <w:rPr>
          <w:rFonts w:asciiTheme="minorHAnsi" w:hAnsiTheme="minorHAnsi"/>
        </w:rPr>
        <w:t>-Bernalillo County as a state because it has authority under federal and state law to administer the CAA separately from the rest of New Mexico)</w:t>
      </w:r>
      <w:r w:rsidR="007B0632">
        <w:rPr>
          <w:rFonts w:asciiTheme="minorHAnsi" w:hAnsiTheme="minorHAnsi"/>
        </w:rPr>
        <w:t>.</w:t>
      </w:r>
      <w:r w:rsidR="00230767" w:rsidRPr="00230767">
        <w:rPr>
          <w:noProof/>
        </w:rPr>
        <w:t xml:space="preserve"> </w:t>
      </w:r>
    </w:p>
    <w:p w14:paraId="2A7F5404" w14:textId="79E557B9" w:rsidR="0099781D" w:rsidRPr="00CC6F12" w:rsidRDefault="0099781D" w:rsidP="004537F2">
      <w:pPr>
        <w:spacing w:after="200"/>
        <w:rPr>
          <w:rFonts w:asciiTheme="minorHAnsi" w:hAnsiTheme="minorHAnsi"/>
        </w:rPr>
      </w:pPr>
      <w:r w:rsidRPr="00CC6F12">
        <w:rPr>
          <w:rFonts w:asciiTheme="minorHAnsi" w:hAnsiTheme="minorHAnsi"/>
        </w:rPr>
        <w:tab/>
        <w:t xml:space="preserve">As part of this program, </w:t>
      </w:r>
      <w:r w:rsidR="004A0CC1" w:rsidRPr="00CC6F12">
        <w:rPr>
          <w:rFonts w:asciiTheme="minorHAnsi" w:hAnsiTheme="minorHAnsi"/>
        </w:rPr>
        <w:t xml:space="preserve">Section 309 </w:t>
      </w:r>
      <w:r w:rsidRPr="00CC6F12">
        <w:rPr>
          <w:rFonts w:asciiTheme="minorHAnsi" w:hAnsiTheme="minorHAnsi"/>
        </w:rPr>
        <w:t>states must submit an annual Regional Sulfur Dioxide (SO</w:t>
      </w:r>
      <w:r w:rsidRPr="00CC6F12">
        <w:rPr>
          <w:rFonts w:asciiTheme="minorHAnsi" w:hAnsiTheme="minorHAnsi"/>
          <w:vertAlign w:val="subscript"/>
        </w:rPr>
        <w:t>2</w:t>
      </w:r>
      <w:r w:rsidRPr="00CC6F12">
        <w:rPr>
          <w:rFonts w:asciiTheme="minorHAnsi" w:hAnsiTheme="minorHAnsi"/>
        </w:rPr>
        <w:t xml:space="preserve">) Emissions and Milestone Report that compares emissions to milestones. A milestone is a maximum level of annual emissions for a given year. </w:t>
      </w:r>
      <w:r w:rsidR="000F5F95">
        <w:rPr>
          <w:rFonts w:asciiTheme="minorHAnsi" w:hAnsiTheme="minorHAnsi"/>
        </w:rPr>
        <w:t>The states submitted t</w:t>
      </w:r>
      <w:r w:rsidRPr="00CC6F12">
        <w:rPr>
          <w:rFonts w:asciiTheme="minorHAnsi" w:hAnsiTheme="minorHAnsi"/>
        </w:rPr>
        <w:t>he first report in 2004 for the calendar year 2003.</w:t>
      </w:r>
      <w:r w:rsidR="00F516A7">
        <w:rPr>
          <w:rFonts w:asciiTheme="minorHAnsi" w:hAnsiTheme="minorHAnsi"/>
        </w:rPr>
        <w:t xml:space="preserve"> Over the course of the program, the states have consistently stayed below the milestones.</w:t>
      </w:r>
      <w:r w:rsidR="00F516A7" w:rsidRPr="00F516A7">
        <w:rPr>
          <w:noProof/>
        </w:rPr>
        <w:t xml:space="preserve"> </w:t>
      </w:r>
    </w:p>
    <w:p w14:paraId="71C6DB7E" w14:textId="27EB02AE" w:rsidR="0099781D" w:rsidRPr="00CC6F12" w:rsidRDefault="003E323D" w:rsidP="004D573D">
      <w:pPr>
        <w:spacing w:after="200"/>
        <w:ind w:firstLine="720"/>
        <w:rPr>
          <w:rFonts w:asciiTheme="minorHAnsi" w:hAnsiTheme="minorHAnsi"/>
        </w:rPr>
      </w:pPr>
      <w:r>
        <w:rPr>
          <w:rFonts w:asciiTheme="minorHAnsi" w:hAnsiTheme="minorHAnsi"/>
        </w:rPr>
        <w:t xml:space="preserve">From 2003 to 2017 states compared the milestone to a </w:t>
      </w:r>
      <w:r w:rsidR="00A74031">
        <w:rPr>
          <w:rFonts w:asciiTheme="minorHAnsi" w:hAnsiTheme="minorHAnsi"/>
        </w:rPr>
        <w:t>three-year</w:t>
      </w:r>
      <w:r>
        <w:rPr>
          <w:rFonts w:asciiTheme="minorHAnsi" w:hAnsiTheme="minorHAnsi"/>
        </w:rPr>
        <w:t xml:space="preserve"> average of SO</w:t>
      </w:r>
      <w:r w:rsidRPr="003E323D">
        <w:rPr>
          <w:rFonts w:asciiTheme="minorHAnsi" w:hAnsiTheme="minorHAnsi"/>
          <w:vertAlign w:val="subscript"/>
        </w:rPr>
        <w:t>2</w:t>
      </w:r>
      <w:r>
        <w:rPr>
          <w:rFonts w:asciiTheme="minorHAnsi" w:hAnsiTheme="minorHAnsi"/>
        </w:rPr>
        <w:t xml:space="preserve"> emissions as required by the</w:t>
      </w:r>
      <w:r w:rsidR="008674DC">
        <w:rPr>
          <w:rFonts w:asciiTheme="minorHAnsi" w:hAnsiTheme="minorHAnsi"/>
        </w:rPr>
        <w:t>ir State Implementation Plans</w:t>
      </w:r>
      <w:r>
        <w:rPr>
          <w:rFonts w:asciiTheme="minorHAnsi" w:hAnsiTheme="minorHAnsi"/>
        </w:rPr>
        <w:t xml:space="preserve"> </w:t>
      </w:r>
      <w:r w:rsidR="008674DC">
        <w:rPr>
          <w:rFonts w:asciiTheme="minorHAnsi" w:hAnsiTheme="minorHAnsi"/>
        </w:rPr>
        <w:t>(</w:t>
      </w:r>
      <w:r>
        <w:rPr>
          <w:rFonts w:asciiTheme="minorHAnsi" w:hAnsiTheme="minorHAnsi"/>
        </w:rPr>
        <w:t>SIP</w:t>
      </w:r>
      <w:r w:rsidR="008674DC">
        <w:rPr>
          <w:rFonts w:asciiTheme="minorHAnsi" w:hAnsiTheme="minorHAnsi"/>
        </w:rPr>
        <w:t>)</w:t>
      </w:r>
      <w:r>
        <w:rPr>
          <w:rFonts w:asciiTheme="minorHAnsi" w:hAnsiTheme="minorHAnsi"/>
        </w:rPr>
        <w:t xml:space="preserve">. The states’ SIPs require them to compare the final 2018 regional milestone to 2018 emissions rather than the three-year average. </w:t>
      </w:r>
      <w:r w:rsidR="0099781D" w:rsidRPr="00CC6F12">
        <w:rPr>
          <w:rFonts w:asciiTheme="minorHAnsi" w:hAnsiTheme="minorHAnsi"/>
        </w:rPr>
        <w:t xml:space="preserve">The </w:t>
      </w:r>
      <w:r w:rsidR="00A204C2" w:rsidRPr="00CC6F12">
        <w:rPr>
          <w:rFonts w:asciiTheme="minorHAnsi" w:hAnsiTheme="minorHAnsi"/>
        </w:rPr>
        <w:t xml:space="preserve">regional </w:t>
      </w:r>
      <w:r w:rsidR="0099781D" w:rsidRPr="00CC6F12">
        <w:rPr>
          <w:rFonts w:asciiTheme="minorHAnsi" w:hAnsiTheme="minorHAnsi"/>
        </w:rPr>
        <w:t xml:space="preserve">milestone for </w:t>
      </w:r>
      <w:r w:rsidR="0018033D">
        <w:rPr>
          <w:rFonts w:asciiTheme="minorHAnsi" w:hAnsiTheme="minorHAnsi"/>
        </w:rPr>
        <w:t>201</w:t>
      </w:r>
      <w:r w:rsidR="00004259">
        <w:rPr>
          <w:rFonts w:asciiTheme="minorHAnsi" w:hAnsiTheme="minorHAnsi"/>
        </w:rPr>
        <w:t>8</w:t>
      </w:r>
      <w:r w:rsidR="0099781D" w:rsidRPr="00CC6F12">
        <w:rPr>
          <w:rFonts w:asciiTheme="minorHAnsi" w:hAnsiTheme="minorHAnsi"/>
        </w:rPr>
        <w:t xml:space="preserve"> is </w:t>
      </w:r>
      <w:r w:rsidR="0089779E" w:rsidRPr="006678FF">
        <w:rPr>
          <w:rFonts w:asciiTheme="minorHAnsi" w:hAnsiTheme="minorHAnsi"/>
        </w:rPr>
        <w:t>1</w:t>
      </w:r>
      <w:r w:rsidR="00004259">
        <w:rPr>
          <w:rFonts w:asciiTheme="minorHAnsi" w:hAnsiTheme="minorHAnsi"/>
        </w:rPr>
        <w:t>41,849</w:t>
      </w:r>
      <w:r w:rsidR="00735B32" w:rsidRPr="006678FF">
        <w:rPr>
          <w:rFonts w:asciiTheme="minorHAnsi" w:hAnsiTheme="minorHAnsi"/>
        </w:rPr>
        <w:t xml:space="preserve"> tons</w:t>
      </w:r>
      <w:r w:rsidR="0099781D" w:rsidRPr="00CC6F12">
        <w:rPr>
          <w:rFonts w:asciiTheme="minorHAnsi" w:hAnsiTheme="minorHAnsi"/>
        </w:rPr>
        <w:t>.</w:t>
      </w:r>
      <w:r w:rsidR="0014623B">
        <w:rPr>
          <w:rFonts w:asciiTheme="minorHAnsi" w:hAnsiTheme="minorHAnsi"/>
        </w:rPr>
        <w:t xml:space="preserve"> </w:t>
      </w:r>
      <w:r w:rsidR="00686BA3">
        <w:rPr>
          <w:rFonts w:asciiTheme="minorHAnsi" w:hAnsiTheme="minorHAnsi"/>
        </w:rPr>
        <w:t>Section 309</w:t>
      </w:r>
      <w:r w:rsidR="00E377FD">
        <w:rPr>
          <w:rFonts w:asciiTheme="minorHAnsi" w:hAnsiTheme="minorHAnsi"/>
        </w:rPr>
        <w:t xml:space="preserve"> of the Regional Haze Rule</w:t>
      </w:r>
      <w:r w:rsidR="00F4305F">
        <w:rPr>
          <w:rFonts w:asciiTheme="minorHAnsi" w:hAnsiTheme="minorHAnsi"/>
        </w:rPr>
        <w:t xml:space="preserve"> requires that </w:t>
      </w:r>
      <w:r w:rsidR="00E377FD">
        <w:rPr>
          <w:rFonts w:asciiTheme="minorHAnsi" w:hAnsiTheme="minorHAnsi"/>
        </w:rPr>
        <w:t xml:space="preserve">states </w:t>
      </w:r>
      <w:r w:rsidR="00F4305F">
        <w:rPr>
          <w:rFonts w:asciiTheme="minorHAnsi" w:hAnsiTheme="minorHAnsi"/>
        </w:rPr>
        <w:t>continu</w:t>
      </w:r>
      <w:r w:rsidR="00E377FD">
        <w:rPr>
          <w:rFonts w:asciiTheme="minorHAnsi" w:hAnsiTheme="minorHAnsi"/>
        </w:rPr>
        <w:t>e showing compliance with the final 2018</w:t>
      </w:r>
      <w:r w:rsidR="00F4305F">
        <w:rPr>
          <w:rFonts w:asciiTheme="minorHAnsi" w:hAnsiTheme="minorHAnsi"/>
        </w:rPr>
        <w:t xml:space="preserve"> milestone beyond the first Regional Haze implementation period. </w:t>
      </w:r>
      <w:r>
        <w:rPr>
          <w:rFonts w:asciiTheme="minorHAnsi" w:hAnsiTheme="minorHAnsi"/>
        </w:rPr>
        <w:t>In this document</w:t>
      </w:r>
      <w:r w:rsidR="00D12EEE">
        <w:rPr>
          <w:rFonts w:asciiTheme="minorHAnsi" w:hAnsiTheme="minorHAnsi"/>
        </w:rPr>
        <w:t>,</w:t>
      </w:r>
      <w:r>
        <w:rPr>
          <w:rFonts w:asciiTheme="minorHAnsi" w:hAnsiTheme="minorHAnsi"/>
        </w:rPr>
        <w:t xml:space="preserve"> t</w:t>
      </w:r>
      <w:r w:rsidR="0099781D" w:rsidRPr="00CC6F12">
        <w:rPr>
          <w:rFonts w:asciiTheme="minorHAnsi" w:hAnsiTheme="minorHAnsi"/>
        </w:rPr>
        <w:t xml:space="preserve">he </w:t>
      </w:r>
      <w:r w:rsidR="000F5F95">
        <w:rPr>
          <w:rFonts w:asciiTheme="minorHAnsi" w:hAnsiTheme="minorHAnsi"/>
        </w:rPr>
        <w:t xml:space="preserve">states </w:t>
      </w:r>
      <w:proofErr w:type="gramStart"/>
      <w:r>
        <w:rPr>
          <w:rFonts w:asciiTheme="minorHAnsi" w:hAnsiTheme="minorHAnsi"/>
        </w:rPr>
        <w:t>report</w:t>
      </w:r>
      <w:proofErr w:type="gramEnd"/>
      <w:r>
        <w:rPr>
          <w:rFonts w:asciiTheme="minorHAnsi" w:hAnsiTheme="minorHAnsi"/>
        </w:rPr>
        <w:t xml:space="preserve"> the </w:t>
      </w:r>
      <w:r w:rsidR="00B76BF4">
        <w:rPr>
          <w:rFonts w:asciiTheme="minorHAnsi" w:hAnsiTheme="minorHAnsi"/>
        </w:rPr>
        <w:t>202</w:t>
      </w:r>
      <w:r w:rsidR="004717C8">
        <w:rPr>
          <w:rFonts w:asciiTheme="minorHAnsi" w:hAnsiTheme="minorHAnsi"/>
        </w:rPr>
        <w:t>3</w:t>
      </w:r>
      <w:r w:rsidR="00F456B1" w:rsidRPr="00CC6F12">
        <w:rPr>
          <w:rFonts w:asciiTheme="minorHAnsi" w:hAnsiTheme="minorHAnsi"/>
        </w:rPr>
        <w:t xml:space="preserve"> </w:t>
      </w:r>
      <w:r w:rsidR="0099781D" w:rsidRPr="00CC6F12">
        <w:rPr>
          <w:rFonts w:asciiTheme="minorHAnsi" w:hAnsiTheme="minorHAnsi"/>
        </w:rPr>
        <w:t>adjusted emissions</w:t>
      </w:r>
      <w:r w:rsidR="00410EFD">
        <w:rPr>
          <w:rFonts w:asciiTheme="minorHAnsi" w:hAnsiTheme="minorHAnsi"/>
        </w:rPr>
        <w:t xml:space="preserve"> as required by </w:t>
      </w:r>
      <w:r w:rsidR="000F5F95">
        <w:rPr>
          <w:rFonts w:asciiTheme="minorHAnsi" w:hAnsiTheme="minorHAnsi"/>
        </w:rPr>
        <w:t>Section 309</w:t>
      </w:r>
      <w:r w:rsidR="00410EFD">
        <w:rPr>
          <w:rFonts w:asciiTheme="minorHAnsi" w:hAnsiTheme="minorHAnsi"/>
        </w:rPr>
        <w:t xml:space="preserve"> of the CAA</w:t>
      </w:r>
      <w:r w:rsidR="000F5F95">
        <w:rPr>
          <w:rFonts w:asciiTheme="minorHAnsi" w:hAnsiTheme="minorHAnsi"/>
        </w:rPr>
        <w:t>.</w:t>
      </w:r>
      <w:r w:rsidR="0099781D" w:rsidRPr="00CC6F12">
        <w:rPr>
          <w:rFonts w:asciiTheme="minorHAnsi" w:hAnsiTheme="minorHAnsi"/>
        </w:rPr>
        <w:t xml:space="preserve"> </w:t>
      </w:r>
      <w:r w:rsidR="000F5F95">
        <w:rPr>
          <w:rFonts w:asciiTheme="minorHAnsi" w:hAnsiTheme="minorHAnsi"/>
        </w:rPr>
        <w:t>We compared</w:t>
      </w:r>
      <w:r w:rsidR="0099781D" w:rsidRPr="00CC6F12">
        <w:rPr>
          <w:rFonts w:asciiTheme="minorHAnsi" w:hAnsiTheme="minorHAnsi"/>
        </w:rPr>
        <w:t xml:space="preserve"> th</w:t>
      </w:r>
      <w:r>
        <w:rPr>
          <w:rFonts w:asciiTheme="minorHAnsi" w:hAnsiTheme="minorHAnsi"/>
        </w:rPr>
        <w:t xml:space="preserve">e adjusted </w:t>
      </w:r>
      <w:r w:rsidR="00B76BF4">
        <w:rPr>
          <w:rFonts w:asciiTheme="minorHAnsi" w:hAnsiTheme="minorHAnsi"/>
        </w:rPr>
        <w:t>202</w:t>
      </w:r>
      <w:r w:rsidR="00121EDC">
        <w:rPr>
          <w:rFonts w:asciiTheme="minorHAnsi" w:hAnsiTheme="minorHAnsi"/>
        </w:rPr>
        <w:t>3</w:t>
      </w:r>
      <w:r>
        <w:rPr>
          <w:rFonts w:asciiTheme="minorHAnsi" w:hAnsiTheme="minorHAnsi"/>
        </w:rPr>
        <w:t xml:space="preserve"> emissions</w:t>
      </w:r>
      <w:r w:rsidR="0099781D" w:rsidRPr="00CC6F12">
        <w:rPr>
          <w:rFonts w:asciiTheme="minorHAnsi" w:hAnsiTheme="minorHAnsi"/>
        </w:rPr>
        <w:t xml:space="preserve"> to the </w:t>
      </w:r>
      <w:r w:rsidR="003A6A57">
        <w:rPr>
          <w:rFonts w:asciiTheme="minorHAnsi" w:hAnsiTheme="minorHAnsi"/>
        </w:rPr>
        <w:t xml:space="preserve">final </w:t>
      </w:r>
      <w:r w:rsidR="00C24CF7">
        <w:rPr>
          <w:rFonts w:asciiTheme="minorHAnsi" w:hAnsiTheme="minorHAnsi"/>
        </w:rPr>
        <w:t>201</w:t>
      </w:r>
      <w:r w:rsidR="003A30B7">
        <w:rPr>
          <w:rFonts w:asciiTheme="minorHAnsi" w:hAnsiTheme="minorHAnsi"/>
        </w:rPr>
        <w:t>8</w:t>
      </w:r>
      <w:r w:rsidR="00F456B1" w:rsidRPr="00CC6F12">
        <w:rPr>
          <w:rFonts w:asciiTheme="minorHAnsi" w:hAnsiTheme="minorHAnsi"/>
        </w:rPr>
        <w:t xml:space="preserve"> </w:t>
      </w:r>
      <w:r w:rsidR="0099781D" w:rsidRPr="00CC6F12">
        <w:rPr>
          <w:rFonts w:asciiTheme="minorHAnsi" w:hAnsiTheme="minorHAnsi"/>
        </w:rPr>
        <w:t>milestone</w:t>
      </w:r>
      <w:r w:rsidR="00B86B54" w:rsidRPr="00CC6F12">
        <w:rPr>
          <w:rFonts w:asciiTheme="minorHAnsi" w:hAnsiTheme="minorHAnsi"/>
        </w:rPr>
        <w:t xml:space="preserve"> to determine whether the</w:t>
      </w:r>
      <w:r w:rsidR="000F5F95">
        <w:rPr>
          <w:rFonts w:asciiTheme="minorHAnsi" w:hAnsiTheme="minorHAnsi"/>
        </w:rPr>
        <w:t xml:space="preserve"> states</w:t>
      </w:r>
      <w:r w:rsidR="00534C12">
        <w:rPr>
          <w:rFonts w:asciiTheme="minorHAnsi" w:hAnsiTheme="minorHAnsi"/>
        </w:rPr>
        <w:t xml:space="preserve"> continue to</w:t>
      </w:r>
      <w:r w:rsidR="000F5F95">
        <w:rPr>
          <w:rFonts w:asciiTheme="minorHAnsi" w:hAnsiTheme="minorHAnsi"/>
        </w:rPr>
        <w:t xml:space="preserve"> me</w:t>
      </w:r>
      <w:r w:rsidR="00534C12">
        <w:rPr>
          <w:rFonts w:asciiTheme="minorHAnsi" w:hAnsiTheme="minorHAnsi"/>
        </w:rPr>
        <w:t>e</w:t>
      </w:r>
      <w:r w:rsidR="000F5F95">
        <w:rPr>
          <w:rFonts w:asciiTheme="minorHAnsi" w:hAnsiTheme="minorHAnsi"/>
        </w:rPr>
        <w:t>t the</w:t>
      </w:r>
      <w:r w:rsidR="00B86B54" w:rsidRPr="00CC6F12">
        <w:rPr>
          <w:rFonts w:asciiTheme="minorHAnsi" w:hAnsiTheme="minorHAnsi"/>
        </w:rPr>
        <w:t xml:space="preserve"> milestone</w:t>
      </w:r>
      <w:r w:rsidR="0099781D" w:rsidRPr="00CC6F12">
        <w:rPr>
          <w:rFonts w:asciiTheme="minorHAnsi" w:hAnsiTheme="minorHAnsi"/>
        </w:rPr>
        <w:t>.</w:t>
      </w:r>
      <w:r w:rsidR="00BB5AF4" w:rsidRPr="00CC6F12">
        <w:rPr>
          <w:rFonts w:asciiTheme="minorHAnsi" w:hAnsiTheme="minorHAnsi"/>
        </w:rPr>
        <w:t xml:space="preserve"> </w:t>
      </w:r>
      <w:r w:rsidR="0099781D" w:rsidRPr="00CC6F12">
        <w:rPr>
          <w:rFonts w:asciiTheme="minorHAnsi" w:hAnsiTheme="minorHAnsi"/>
        </w:rPr>
        <w:t xml:space="preserve">The adjustments to reported emissions were required to allow the basis of current </w:t>
      </w:r>
      <w:r w:rsidR="0099781D" w:rsidRPr="00CC6F12">
        <w:rPr>
          <w:rFonts w:asciiTheme="minorHAnsi" w:hAnsiTheme="minorHAnsi"/>
        </w:rPr>
        <w:lastRenderedPageBreak/>
        <w:t>emission estimates to be comparable to the emissions monitoring or calculation method used in the mo</w:t>
      </w:r>
      <w:r w:rsidR="005142EC" w:rsidRPr="00CC6F12">
        <w:rPr>
          <w:rFonts w:asciiTheme="minorHAnsi" w:hAnsiTheme="minorHAnsi"/>
        </w:rPr>
        <w:t>st recent base year inventory.</w:t>
      </w:r>
    </w:p>
    <w:p w14:paraId="74DF59E5" w14:textId="7382501A" w:rsidR="0099781D" w:rsidRPr="00CC6F12" w:rsidRDefault="00F61483" w:rsidP="00067C1B">
      <w:pPr>
        <w:spacing w:after="200"/>
        <w:ind w:firstLine="720"/>
        <w:rPr>
          <w:rFonts w:asciiTheme="minorHAnsi" w:hAnsiTheme="minorHAnsi"/>
        </w:rPr>
      </w:pPr>
      <w:r w:rsidRPr="00320299">
        <w:rPr>
          <w:rFonts w:asciiTheme="minorHAnsi" w:hAnsiTheme="minorHAnsi"/>
        </w:rPr>
        <w:t>As presented in Table ES</w:t>
      </w:r>
      <w:r w:rsidR="00A204C2" w:rsidRPr="00320299">
        <w:rPr>
          <w:rFonts w:asciiTheme="minorHAnsi" w:hAnsiTheme="minorHAnsi"/>
        </w:rPr>
        <w:t xml:space="preserve">-1, </w:t>
      </w:r>
      <w:proofErr w:type="gramStart"/>
      <w:r w:rsidR="00A204C2" w:rsidRPr="00320299">
        <w:rPr>
          <w:rFonts w:asciiTheme="minorHAnsi" w:hAnsiTheme="minorHAnsi"/>
        </w:rPr>
        <w:t>t</w:t>
      </w:r>
      <w:r w:rsidR="0099781D" w:rsidRPr="00320299">
        <w:rPr>
          <w:rFonts w:asciiTheme="minorHAnsi" w:hAnsiTheme="minorHAnsi"/>
        </w:rPr>
        <w:t xml:space="preserve">he </w:t>
      </w:r>
      <w:r w:rsidR="004A0CC1" w:rsidRPr="00320299">
        <w:rPr>
          <w:rFonts w:asciiTheme="minorHAnsi" w:hAnsiTheme="minorHAnsi"/>
        </w:rPr>
        <w:t>Section</w:t>
      </w:r>
      <w:proofErr w:type="gramEnd"/>
      <w:r w:rsidR="004A0CC1" w:rsidRPr="00320299">
        <w:rPr>
          <w:rFonts w:asciiTheme="minorHAnsi" w:hAnsiTheme="minorHAnsi"/>
        </w:rPr>
        <w:t xml:space="preserve"> 309 </w:t>
      </w:r>
      <w:r w:rsidR="004A590D" w:rsidRPr="00320299">
        <w:rPr>
          <w:rFonts w:asciiTheme="minorHAnsi" w:hAnsiTheme="minorHAnsi"/>
        </w:rPr>
        <w:t xml:space="preserve">states </w:t>
      </w:r>
      <w:r w:rsidR="0099781D" w:rsidRPr="00320299">
        <w:rPr>
          <w:rFonts w:asciiTheme="minorHAnsi" w:hAnsiTheme="minorHAnsi"/>
        </w:rPr>
        <w:t xml:space="preserve">reported </w:t>
      </w:r>
      <w:r w:rsidR="00A6565A" w:rsidRPr="00320299">
        <w:rPr>
          <w:rFonts w:asciiTheme="minorHAnsi" w:hAnsiTheme="minorHAnsi"/>
        </w:rPr>
        <w:t>41,420</w:t>
      </w:r>
      <w:r w:rsidR="00E21DC6" w:rsidRPr="00320299">
        <w:rPr>
          <w:rFonts w:asciiTheme="minorHAnsi" w:hAnsiTheme="minorHAnsi"/>
        </w:rPr>
        <w:t xml:space="preserve"> </w:t>
      </w:r>
      <w:r w:rsidR="0099781D" w:rsidRPr="00320299">
        <w:rPr>
          <w:rFonts w:asciiTheme="minorHAnsi" w:hAnsiTheme="minorHAnsi"/>
        </w:rPr>
        <w:t>tons of SO</w:t>
      </w:r>
      <w:r w:rsidR="0099781D" w:rsidRPr="00320299">
        <w:rPr>
          <w:rFonts w:asciiTheme="minorHAnsi" w:hAnsiTheme="minorHAnsi"/>
          <w:vertAlign w:val="subscript"/>
        </w:rPr>
        <w:t>2</w:t>
      </w:r>
      <w:r w:rsidR="0099781D" w:rsidRPr="00320299">
        <w:rPr>
          <w:rFonts w:asciiTheme="minorHAnsi" w:hAnsiTheme="minorHAnsi"/>
        </w:rPr>
        <w:t xml:space="preserve"> emissions for the calendar year </w:t>
      </w:r>
      <w:r w:rsidR="00B76BF4" w:rsidRPr="00320299">
        <w:rPr>
          <w:rFonts w:asciiTheme="minorHAnsi" w:hAnsiTheme="minorHAnsi"/>
        </w:rPr>
        <w:t>202</w:t>
      </w:r>
      <w:r w:rsidR="00121EDC" w:rsidRPr="00320299">
        <w:rPr>
          <w:rFonts w:asciiTheme="minorHAnsi" w:hAnsiTheme="minorHAnsi"/>
        </w:rPr>
        <w:t>3</w:t>
      </w:r>
      <w:r w:rsidR="0099781D" w:rsidRPr="00320299">
        <w:rPr>
          <w:rFonts w:asciiTheme="minorHAnsi" w:hAnsiTheme="minorHAnsi"/>
        </w:rPr>
        <w:t>.</w:t>
      </w:r>
      <w:r w:rsidR="00BB5AF4" w:rsidRPr="00320299">
        <w:rPr>
          <w:rFonts w:asciiTheme="minorHAnsi" w:hAnsiTheme="minorHAnsi"/>
        </w:rPr>
        <w:t xml:space="preserve"> </w:t>
      </w:r>
      <w:r w:rsidR="0099781D" w:rsidRPr="00320299">
        <w:rPr>
          <w:rFonts w:asciiTheme="minorHAnsi" w:hAnsiTheme="minorHAnsi"/>
        </w:rPr>
        <w:t xml:space="preserve">The total emissions increased to </w:t>
      </w:r>
      <w:r w:rsidR="00E335AE" w:rsidRPr="00320299">
        <w:rPr>
          <w:rFonts w:asciiTheme="minorHAnsi" w:hAnsiTheme="minorHAnsi"/>
        </w:rPr>
        <w:t>50,76</w:t>
      </w:r>
      <w:r w:rsidR="0074660D">
        <w:rPr>
          <w:rFonts w:asciiTheme="minorHAnsi" w:hAnsiTheme="minorHAnsi"/>
        </w:rPr>
        <w:t>7</w:t>
      </w:r>
      <w:r w:rsidR="0017056D" w:rsidRPr="00320299">
        <w:rPr>
          <w:rFonts w:asciiTheme="minorHAnsi" w:hAnsiTheme="minorHAnsi"/>
        </w:rPr>
        <w:t xml:space="preserve"> tons</w:t>
      </w:r>
      <w:r w:rsidR="005E5D8A" w:rsidRPr="00320299">
        <w:rPr>
          <w:rFonts w:asciiTheme="minorHAnsi" w:hAnsiTheme="minorHAnsi"/>
        </w:rPr>
        <w:t xml:space="preserve"> of</w:t>
      </w:r>
      <w:r w:rsidR="0099781D" w:rsidRPr="00320299">
        <w:rPr>
          <w:rFonts w:asciiTheme="minorHAnsi" w:hAnsiTheme="minorHAnsi"/>
        </w:rPr>
        <w:t xml:space="preserve"> SO</w:t>
      </w:r>
      <w:r w:rsidR="0099781D" w:rsidRPr="00320299">
        <w:rPr>
          <w:rFonts w:asciiTheme="minorHAnsi" w:hAnsiTheme="minorHAnsi"/>
          <w:vertAlign w:val="subscript"/>
        </w:rPr>
        <w:t>2</w:t>
      </w:r>
      <w:r w:rsidR="0099781D" w:rsidRPr="00320299">
        <w:rPr>
          <w:rFonts w:asciiTheme="minorHAnsi" w:hAnsiTheme="minorHAnsi"/>
        </w:rPr>
        <w:t xml:space="preserve"> after </w:t>
      </w:r>
      <w:r w:rsidR="008C1BE6" w:rsidRPr="00320299">
        <w:rPr>
          <w:rFonts w:asciiTheme="minorHAnsi" w:hAnsiTheme="minorHAnsi"/>
        </w:rPr>
        <w:t>adjusting to</w:t>
      </w:r>
      <w:r w:rsidR="0099781D" w:rsidRPr="00320299">
        <w:rPr>
          <w:rFonts w:asciiTheme="minorHAnsi" w:hAnsiTheme="minorHAnsi"/>
        </w:rPr>
        <w:t xml:space="preserve"> account for changes in monitoring</w:t>
      </w:r>
      <w:r w:rsidR="00C5513B" w:rsidRPr="00320299">
        <w:rPr>
          <w:rFonts w:asciiTheme="minorHAnsi" w:hAnsiTheme="minorHAnsi"/>
        </w:rPr>
        <w:t>,</w:t>
      </w:r>
      <w:r w:rsidR="0099781D" w:rsidRPr="00320299">
        <w:rPr>
          <w:rFonts w:asciiTheme="minorHAnsi" w:hAnsiTheme="minorHAnsi"/>
        </w:rPr>
        <w:t xml:space="preserve"> calculation methods</w:t>
      </w:r>
      <w:r w:rsidR="00C5513B" w:rsidRPr="00320299">
        <w:rPr>
          <w:rFonts w:asciiTheme="minorHAnsi" w:hAnsiTheme="minorHAnsi"/>
        </w:rPr>
        <w:t>, and enforcement actions</w:t>
      </w:r>
      <w:r w:rsidR="0099781D" w:rsidRPr="00320299">
        <w:rPr>
          <w:rFonts w:asciiTheme="minorHAnsi" w:hAnsiTheme="minorHAnsi"/>
        </w:rPr>
        <w:t>.</w:t>
      </w:r>
      <w:r w:rsidR="00BB5AF4" w:rsidRPr="00320299">
        <w:rPr>
          <w:rFonts w:asciiTheme="minorHAnsi" w:hAnsiTheme="minorHAnsi"/>
        </w:rPr>
        <w:t xml:space="preserve"> </w:t>
      </w:r>
      <w:r w:rsidR="0099781D" w:rsidRPr="00320299">
        <w:rPr>
          <w:rFonts w:asciiTheme="minorHAnsi" w:hAnsiTheme="minorHAnsi"/>
        </w:rPr>
        <w:t>The adjustments result in an additional</w:t>
      </w:r>
      <w:r w:rsidR="00C5513B" w:rsidRPr="00320299">
        <w:rPr>
          <w:rFonts w:asciiTheme="minorHAnsi" w:hAnsiTheme="minorHAnsi"/>
        </w:rPr>
        <w:t xml:space="preserve"> </w:t>
      </w:r>
      <w:r w:rsidR="0017056D" w:rsidRPr="00320299">
        <w:rPr>
          <w:rFonts w:asciiTheme="minorHAnsi" w:hAnsiTheme="minorHAnsi"/>
        </w:rPr>
        <w:t>9,34</w:t>
      </w:r>
      <w:r w:rsidR="00480536">
        <w:rPr>
          <w:rFonts w:asciiTheme="minorHAnsi" w:hAnsiTheme="minorHAnsi"/>
        </w:rPr>
        <w:t>7</w:t>
      </w:r>
      <w:r w:rsidR="007E0C20" w:rsidRPr="00320299">
        <w:rPr>
          <w:rFonts w:asciiTheme="minorHAnsi" w:hAnsiTheme="minorHAnsi"/>
        </w:rPr>
        <w:t xml:space="preserve"> </w:t>
      </w:r>
      <w:r w:rsidR="0099781D" w:rsidRPr="00320299">
        <w:rPr>
          <w:rFonts w:asciiTheme="minorHAnsi" w:hAnsiTheme="minorHAnsi"/>
        </w:rPr>
        <w:t>tons of SO</w:t>
      </w:r>
      <w:r w:rsidR="0099781D" w:rsidRPr="00320299">
        <w:rPr>
          <w:rFonts w:asciiTheme="minorHAnsi" w:hAnsiTheme="minorHAnsi"/>
          <w:vertAlign w:val="subscript"/>
        </w:rPr>
        <w:t>2</w:t>
      </w:r>
      <w:r w:rsidR="0099781D" w:rsidRPr="00320299">
        <w:rPr>
          <w:rFonts w:asciiTheme="minorHAnsi" w:hAnsiTheme="minorHAnsi"/>
        </w:rPr>
        <w:t xml:space="preserve"> emissions.</w:t>
      </w:r>
    </w:p>
    <w:p w14:paraId="3788A066" w14:textId="6FC2A416" w:rsidR="0099781D" w:rsidRPr="00CC6F12" w:rsidRDefault="0099781D" w:rsidP="00067C1B">
      <w:pPr>
        <w:spacing w:after="200"/>
        <w:rPr>
          <w:rFonts w:asciiTheme="minorHAnsi" w:hAnsiTheme="minorHAnsi"/>
        </w:rPr>
      </w:pPr>
      <w:r w:rsidRPr="00CC6F12">
        <w:rPr>
          <w:rFonts w:asciiTheme="minorHAnsi" w:hAnsiTheme="minorHAnsi"/>
        </w:rPr>
        <w:tab/>
        <w:t xml:space="preserve">Based on this </w:t>
      </w:r>
      <w:r w:rsidR="003E323D">
        <w:rPr>
          <w:rFonts w:asciiTheme="minorHAnsi" w:hAnsiTheme="minorHAnsi"/>
        </w:rPr>
        <w:t>adjusted</w:t>
      </w:r>
      <w:r w:rsidRPr="00CC6F12">
        <w:rPr>
          <w:rFonts w:asciiTheme="minorHAnsi" w:hAnsiTheme="minorHAnsi"/>
        </w:rPr>
        <w:t xml:space="preserve"> annual emissions estimate, </w:t>
      </w:r>
      <w:r w:rsidR="00D12EEE" w:rsidRPr="00CC6F12">
        <w:rPr>
          <w:rFonts w:asciiTheme="minorHAnsi" w:hAnsiTheme="minorHAnsi"/>
        </w:rPr>
        <w:t>Section</w:t>
      </w:r>
      <w:r w:rsidR="004A0CC1" w:rsidRPr="00CC6F12">
        <w:rPr>
          <w:rFonts w:asciiTheme="minorHAnsi" w:hAnsiTheme="minorHAnsi"/>
        </w:rPr>
        <w:t xml:space="preserve"> 309</w:t>
      </w:r>
      <w:r w:rsidR="00872A1A" w:rsidRPr="00CC6F12">
        <w:rPr>
          <w:rFonts w:asciiTheme="minorHAnsi" w:hAnsiTheme="minorHAnsi"/>
        </w:rPr>
        <w:t xml:space="preserve"> </w:t>
      </w:r>
      <w:r w:rsidRPr="00CC6F12">
        <w:rPr>
          <w:rFonts w:asciiTheme="minorHAnsi" w:hAnsiTheme="minorHAnsi"/>
        </w:rPr>
        <w:t xml:space="preserve">states </w:t>
      </w:r>
      <w:r w:rsidR="0072553D" w:rsidRPr="00CC6F12">
        <w:rPr>
          <w:rFonts w:asciiTheme="minorHAnsi" w:hAnsiTheme="minorHAnsi"/>
        </w:rPr>
        <w:t xml:space="preserve">determined that emissions in </w:t>
      </w:r>
      <w:r w:rsidR="00B76BF4">
        <w:rPr>
          <w:rFonts w:asciiTheme="minorHAnsi" w:hAnsiTheme="minorHAnsi"/>
        </w:rPr>
        <w:t>202</w:t>
      </w:r>
      <w:r w:rsidR="00121EDC">
        <w:rPr>
          <w:rFonts w:asciiTheme="minorHAnsi" w:hAnsiTheme="minorHAnsi"/>
        </w:rPr>
        <w:t>3</w:t>
      </w:r>
      <w:r w:rsidR="00F456B1" w:rsidRPr="00CC6F12">
        <w:rPr>
          <w:rFonts w:asciiTheme="minorHAnsi" w:hAnsiTheme="minorHAnsi"/>
        </w:rPr>
        <w:t xml:space="preserve"> </w:t>
      </w:r>
      <w:r w:rsidR="00A204C2" w:rsidRPr="00CC6F12">
        <w:rPr>
          <w:rFonts w:asciiTheme="minorHAnsi" w:hAnsiTheme="minorHAnsi"/>
        </w:rPr>
        <w:t>were</w:t>
      </w:r>
      <w:r w:rsidR="0072553D" w:rsidRPr="00CC6F12">
        <w:rPr>
          <w:rFonts w:asciiTheme="minorHAnsi" w:hAnsiTheme="minorHAnsi"/>
        </w:rPr>
        <w:t xml:space="preserve"> below the </w:t>
      </w:r>
      <w:r w:rsidRPr="00CC6F12">
        <w:rPr>
          <w:rFonts w:asciiTheme="minorHAnsi" w:hAnsiTheme="minorHAnsi"/>
        </w:rPr>
        <w:t>regional SO</w:t>
      </w:r>
      <w:r w:rsidRPr="00CC6F12">
        <w:rPr>
          <w:rFonts w:asciiTheme="minorHAnsi" w:hAnsiTheme="minorHAnsi"/>
          <w:vertAlign w:val="subscript"/>
        </w:rPr>
        <w:t>2</w:t>
      </w:r>
      <w:r w:rsidRPr="00CC6F12">
        <w:rPr>
          <w:rFonts w:asciiTheme="minorHAnsi" w:hAnsiTheme="minorHAnsi"/>
        </w:rPr>
        <w:t xml:space="preserve"> milestone </w:t>
      </w:r>
      <w:r w:rsidR="0072553D" w:rsidRPr="00CC6F12">
        <w:rPr>
          <w:rFonts w:asciiTheme="minorHAnsi" w:hAnsiTheme="minorHAnsi"/>
        </w:rPr>
        <w:t xml:space="preserve">for </w:t>
      </w:r>
      <w:r w:rsidR="00C24CF7">
        <w:rPr>
          <w:rFonts w:asciiTheme="minorHAnsi" w:hAnsiTheme="minorHAnsi"/>
        </w:rPr>
        <w:t>201</w:t>
      </w:r>
      <w:r w:rsidR="00004259">
        <w:rPr>
          <w:rFonts w:asciiTheme="minorHAnsi" w:hAnsiTheme="minorHAnsi"/>
        </w:rPr>
        <w:t>8</w:t>
      </w:r>
      <w:r w:rsidRPr="006412EE">
        <w:rPr>
          <w:rFonts w:asciiTheme="minorHAnsi" w:hAnsiTheme="minorHAnsi"/>
        </w:rPr>
        <w:t>.</w:t>
      </w:r>
      <w:r w:rsidR="00BB5AF4" w:rsidRPr="006412EE">
        <w:rPr>
          <w:rFonts w:asciiTheme="minorHAnsi" w:hAnsiTheme="minorHAnsi"/>
        </w:rPr>
        <w:t xml:space="preserve"> </w:t>
      </w:r>
      <w:r w:rsidRPr="006412EE">
        <w:rPr>
          <w:rFonts w:asciiTheme="minorHAnsi" w:hAnsiTheme="minorHAnsi"/>
        </w:rPr>
        <w:t xml:space="preserve">The </w:t>
      </w:r>
      <w:r w:rsidR="00A204C2" w:rsidRPr="006412EE">
        <w:rPr>
          <w:rFonts w:asciiTheme="minorHAnsi" w:hAnsiTheme="minorHAnsi"/>
        </w:rPr>
        <w:t xml:space="preserve">states’ Section 309 </w:t>
      </w:r>
      <w:r w:rsidRPr="006412EE">
        <w:rPr>
          <w:rFonts w:asciiTheme="minorHAnsi" w:hAnsiTheme="minorHAnsi"/>
        </w:rPr>
        <w:t>plans contain provisions to adjust the milestones to account for enforcement actions (to reduce the milestones where an enforcement action identified that emissions in the baseline period were greater than allowable emissions).</w:t>
      </w:r>
      <w:r w:rsidR="00BB5AF4" w:rsidRPr="006412EE">
        <w:rPr>
          <w:rFonts w:asciiTheme="minorHAnsi" w:hAnsiTheme="minorHAnsi"/>
        </w:rPr>
        <w:t xml:space="preserve"> </w:t>
      </w:r>
      <w:r w:rsidRPr="006412EE">
        <w:rPr>
          <w:rFonts w:asciiTheme="minorHAnsi" w:hAnsiTheme="minorHAnsi"/>
        </w:rPr>
        <w:t>Based on emissions data received from the states and plan requirements regarding adjustments to the milestones, no enforcement action adjustment is required.</w:t>
      </w:r>
    </w:p>
    <w:p w14:paraId="0F7E4CCA" w14:textId="387E5347" w:rsidR="0099781D" w:rsidRPr="00CC6F12" w:rsidRDefault="0099781D" w:rsidP="00067C1B">
      <w:pPr>
        <w:spacing w:after="200"/>
        <w:ind w:firstLine="720"/>
      </w:pPr>
      <w:r w:rsidRPr="00CC6F12">
        <w:rPr>
          <w:rFonts w:asciiTheme="minorHAnsi" w:hAnsiTheme="minorHAnsi"/>
        </w:rPr>
        <w:t>The plans also require that the annual report identify</w:t>
      </w:r>
      <w:r w:rsidR="0098401E" w:rsidRPr="00CC6F12">
        <w:rPr>
          <w:rFonts w:asciiTheme="minorHAnsi" w:hAnsiTheme="minorHAnsi"/>
        </w:rPr>
        <w:t>, first, changes in the total number of sources</w:t>
      </w:r>
      <w:r w:rsidRPr="00CC6F12">
        <w:rPr>
          <w:rFonts w:asciiTheme="minorHAnsi" w:hAnsiTheme="minorHAnsi"/>
        </w:rPr>
        <w:t xml:space="preserve"> from year to year and</w:t>
      </w:r>
      <w:r w:rsidR="0098401E" w:rsidRPr="00CC6F12">
        <w:rPr>
          <w:rFonts w:asciiTheme="minorHAnsi" w:hAnsiTheme="minorHAnsi"/>
        </w:rPr>
        <w:t>, second,</w:t>
      </w:r>
      <w:r w:rsidRPr="00CC6F12">
        <w:rPr>
          <w:rFonts w:asciiTheme="minorHAnsi" w:hAnsiTheme="minorHAnsi"/>
        </w:rPr>
        <w:t xml:space="preserve"> significant changes in a source's emissions from year to year.</w:t>
      </w:r>
      <w:r w:rsidR="00BB5AF4" w:rsidRPr="00CC6F12">
        <w:rPr>
          <w:rFonts w:asciiTheme="minorHAnsi" w:hAnsiTheme="minorHAnsi"/>
        </w:rPr>
        <w:t xml:space="preserve"> </w:t>
      </w:r>
      <w:r w:rsidRPr="00CC6F12">
        <w:rPr>
          <w:rFonts w:asciiTheme="minorHAnsi" w:hAnsiTheme="minorHAnsi"/>
        </w:rPr>
        <w:t xml:space="preserve">The significant emission changes from </w:t>
      </w:r>
      <w:r w:rsidR="00B76BF4">
        <w:rPr>
          <w:rFonts w:asciiTheme="minorHAnsi" w:hAnsiTheme="minorHAnsi"/>
        </w:rPr>
        <w:t>202</w:t>
      </w:r>
      <w:r w:rsidR="00011C94">
        <w:rPr>
          <w:rFonts w:asciiTheme="minorHAnsi" w:hAnsiTheme="minorHAnsi"/>
        </w:rPr>
        <w:t>2</w:t>
      </w:r>
      <w:r w:rsidR="00F456B1" w:rsidRPr="00CC6F12">
        <w:rPr>
          <w:rFonts w:asciiTheme="minorHAnsi" w:hAnsiTheme="minorHAnsi"/>
        </w:rPr>
        <w:t xml:space="preserve"> </w:t>
      </w:r>
      <w:r w:rsidRPr="00CC6F12">
        <w:rPr>
          <w:rFonts w:asciiTheme="minorHAnsi" w:hAnsiTheme="minorHAnsi"/>
        </w:rPr>
        <w:t xml:space="preserve">to </w:t>
      </w:r>
      <w:r w:rsidR="00B76BF4">
        <w:rPr>
          <w:rFonts w:asciiTheme="minorHAnsi" w:hAnsiTheme="minorHAnsi"/>
        </w:rPr>
        <w:t>202</w:t>
      </w:r>
      <w:r w:rsidR="00011C94">
        <w:rPr>
          <w:rFonts w:asciiTheme="minorHAnsi" w:hAnsiTheme="minorHAnsi"/>
        </w:rPr>
        <w:t>3</w:t>
      </w:r>
      <w:r w:rsidR="00F456B1" w:rsidRPr="00CC6F12">
        <w:rPr>
          <w:rFonts w:asciiTheme="minorHAnsi" w:hAnsiTheme="minorHAnsi"/>
        </w:rPr>
        <w:t xml:space="preserve"> </w:t>
      </w:r>
      <w:r w:rsidRPr="00CC6F12">
        <w:rPr>
          <w:rFonts w:asciiTheme="minorHAnsi" w:hAnsiTheme="minorHAnsi"/>
        </w:rPr>
        <w:t xml:space="preserve">are included in Section </w:t>
      </w:r>
      <w:r w:rsidR="00F456B1" w:rsidRPr="00CC6F12">
        <w:rPr>
          <w:rFonts w:asciiTheme="minorHAnsi" w:hAnsiTheme="minorHAnsi"/>
        </w:rPr>
        <w:t xml:space="preserve">6 </w:t>
      </w:r>
      <w:r w:rsidRPr="00CC6F12">
        <w:rPr>
          <w:rFonts w:asciiTheme="minorHAnsi" w:hAnsiTheme="minorHAnsi"/>
        </w:rPr>
        <w:t>of this report.</w:t>
      </w:r>
      <w:r w:rsidR="00BB5AF4" w:rsidRPr="00CC6F12">
        <w:rPr>
          <w:rFonts w:asciiTheme="minorHAnsi" w:hAnsiTheme="minorHAnsi"/>
        </w:rPr>
        <w:t xml:space="preserve"> </w:t>
      </w:r>
      <w:r w:rsidRPr="00CC6F12">
        <w:rPr>
          <w:rFonts w:asciiTheme="minorHAnsi" w:hAnsiTheme="minorHAnsi"/>
        </w:rPr>
        <w:t>A list of facilities added to</w:t>
      </w:r>
      <w:r w:rsidR="002D6FDC" w:rsidRPr="00CC6F12">
        <w:rPr>
          <w:rFonts w:asciiTheme="minorHAnsi" w:hAnsiTheme="minorHAnsi"/>
        </w:rPr>
        <w:t>,</w:t>
      </w:r>
      <w:r w:rsidRPr="00CC6F12">
        <w:rPr>
          <w:rFonts w:asciiTheme="minorHAnsi" w:hAnsiTheme="minorHAnsi"/>
        </w:rPr>
        <w:t xml:space="preserve"> or removed from</w:t>
      </w:r>
      <w:r w:rsidR="002D6FDC" w:rsidRPr="00CC6F12">
        <w:rPr>
          <w:rFonts w:asciiTheme="minorHAnsi" w:hAnsiTheme="minorHAnsi"/>
        </w:rPr>
        <w:t>,</w:t>
      </w:r>
      <w:r w:rsidRPr="00CC6F12">
        <w:rPr>
          <w:rFonts w:asciiTheme="minorHAnsi" w:hAnsiTheme="minorHAnsi"/>
        </w:rPr>
        <w:t xml:space="preserve"> the list of subject sources in the original base year inventories is included in Appendix B.</w:t>
      </w:r>
    </w:p>
    <w:p w14:paraId="7B548BCA" w14:textId="77CC0DE3" w:rsidR="0099781D" w:rsidRPr="00FF2052" w:rsidRDefault="0099781D" w:rsidP="00067C1B">
      <w:pPr>
        <w:pStyle w:val="Caption"/>
        <w:spacing w:after="120"/>
        <w:rPr>
          <w:rFonts w:asciiTheme="minorHAnsi" w:hAnsiTheme="minorHAnsi"/>
        </w:rPr>
      </w:pPr>
      <w:r w:rsidRPr="006678FF">
        <w:rPr>
          <w:rFonts w:asciiTheme="minorHAnsi" w:hAnsiTheme="minorHAnsi"/>
        </w:rPr>
        <w:t>Table ES-1</w:t>
      </w:r>
      <w:r w:rsidRPr="00FF2052">
        <w:rPr>
          <w:rFonts w:asciiTheme="minorHAnsi" w:hAnsiTheme="minorHAnsi"/>
        </w:rPr>
        <w:t xml:space="preserve"> </w:t>
      </w:r>
      <w:r w:rsidRPr="00FF2052">
        <w:rPr>
          <w:rFonts w:asciiTheme="minorHAnsi" w:hAnsiTheme="minorHAnsi"/>
        </w:rPr>
        <w:br/>
        <w:t xml:space="preserve">Overview of </w:t>
      </w:r>
      <w:r w:rsidR="00B76BF4">
        <w:rPr>
          <w:rFonts w:asciiTheme="minorHAnsi" w:hAnsiTheme="minorHAnsi"/>
        </w:rPr>
        <w:t>202</w:t>
      </w:r>
      <w:r w:rsidR="00011C94">
        <w:rPr>
          <w:rFonts w:asciiTheme="minorHAnsi" w:hAnsiTheme="minorHAnsi"/>
        </w:rPr>
        <w:t>3</w:t>
      </w:r>
      <w:r w:rsidR="00F456B1" w:rsidRPr="00FF2052">
        <w:rPr>
          <w:rFonts w:asciiTheme="minorHAnsi" w:hAnsiTheme="minorHAnsi"/>
        </w:rPr>
        <w:t xml:space="preserve"> </w:t>
      </w:r>
      <w:r w:rsidRPr="00FF2052">
        <w:rPr>
          <w:rFonts w:asciiTheme="minorHAnsi" w:hAnsiTheme="minorHAnsi"/>
        </w:rPr>
        <w:t>Regional Milestones and Emissions for Section 309</w:t>
      </w:r>
      <w:r w:rsidR="00C90E4A" w:rsidRPr="00FF2052">
        <w:rPr>
          <w:rFonts w:asciiTheme="minorHAnsi" w:hAnsiTheme="minorHAnsi"/>
        </w:rPr>
        <w:t xml:space="preserve"> </w:t>
      </w:r>
      <w:r w:rsidRPr="00FF2052">
        <w:rPr>
          <w:rFonts w:asciiTheme="minorHAnsi" w:hAnsiTheme="minorHAnsi"/>
        </w:rPr>
        <w:t>Participating States</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9360"/>
      </w:tblGrid>
      <w:tr w:rsidR="0099781D" w:rsidRPr="00FF2052" w14:paraId="4E09D86B" w14:textId="77777777" w:rsidTr="00067C1B">
        <w:trPr>
          <w:trHeight w:val="885"/>
          <w:jc w:val="center"/>
        </w:trPr>
        <w:tc>
          <w:tcPr>
            <w:tcW w:w="9360" w:type="dxa"/>
            <w:tcBorders>
              <w:bottom w:val="single" w:sz="4" w:space="0" w:color="auto"/>
            </w:tcBorders>
          </w:tcPr>
          <w:p w14:paraId="7583BD3D" w14:textId="2A124EE8" w:rsidR="0099781D" w:rsidRPr="00FF2052" w:rsidRDefault="00C24CF7" w:rsidP="00067C1B">
            <w:pPr>
              <w:keepNext/>
              <w:keepLines/>
              <w:spacing w:after="120"/>
              <w:rPr>
                <w:rFonts w:asciiTheme="majorHAnsi" w:hAnsiTheme="majorHAnsi" w:cstheme="majorHAnsi"/>
                <w:b/>
                <w:u w:val="single"/>
              </w:rPr>
            </w:pPr>
            <w:r w:rsidRPr="000A413D">
              <w:rPr>
                <w:rFonts w:asciiTheme="majorHAnsi" w:hAnsiTheme="majorHAnsi" w:cstheme="majorHAnsi"/>
                <w:b/>
                <w:u w:val="single"/>
              </w:rPr>
              <w:t>201</w:t>
            </w:r>
            <w:r w:rsidR="000A413D" w:rsidRPr="000A413D">
              <w:rPr>
                <w:rFonts w:asciiTheme="majorHAnsi" w:hAnsiTheme="majorHAnsi" w:cstheme="majorHAnsi"/>
                <w:b/>
                <w:u w:val="single"/>
              </w:rPr>
              <w:t>8</w:t>
            </w:r>
            <w:r w:rsidR="00F456B1" w:rsidRPr="000A413D">
              <w:rPr>
                <w:rFonts w:asciiTheme="majorHAnsi" w:hAnsiTheme="majorHAnsi" w:cstheme="majorHAnsi"/>
                <w:b/>
                <w:u w:val="single"/>
              </w:rPr>
              <w:t xml:space="preserve"> </w:t>
            </w:r>
            <w:r w:rsidR="0099781D" w:rsidRPr="000A413D">
              <w:rPr>
                <w:rFonts w:asciiTheme="majorHAnsi" w:hAnsiTheme="majorHAnsi" w:cstheme="majorHAnsi"/>
                <w:b/>
                <w:u w:val="single"/>
              </w:rPr>
              <w:t>Sulfur Dioxide Milestones</w:t>
            </w:r>
          </w:p>
          <w:p w14:paraId="59FFCCE9" w14:textId="72627C15" w:rsidR="0099781D" w:rsidRPr="006678FF" w:rsidRDefault="0099781D">
            <w:pPr>
              <w:keepNext/>
              <w:keepLines/>
              <w:tabs>
                <w:tab w:val="left" w:pos="0"/>
                <w:tab w:val="left" w:pos="717"/>
                <w:tab w:val="right" w:leader="dot" w:pos="9198"/>
                <w:tab w:val="right" w:pos="9360"/>
              </w:tabs>
              <w:rPr>
                <w:rFonts w:asciiTheme="majorHAnsi" w:hAnsiTheme="majorHAnsi" w:cstheme="majorHAnsi"/>
                <w:sz w:val="20"/>
              </w:rPr>
            </w:pPr>
            <w:r w:rsidRPr="00FF2052">
              <w:rPr>
                <w:rFonts w:asciiTheme="majorHAnsi" w:hAnsiTheme="majorHAnsi" w:cstheme="majorHAnsi"/>
                <w:sz w:val="20"/>
              </w:rPr>
              <w:t xml:space="preserve">Regional </w:t>
            </w:r>
            <w:r w:rsidR="00C24CF7">
              <w:rPr>
                <w:rFonts w:asciiTheme="majorHAnsi" w:hAnsiTheme="majorHAnsi" w:cstheme="majorHAnsi"/>
                <w:sz w:val="20"/>
              </w:rPr>
              <w:t>201</w:t>
            </w:r>
            <w:r w:rsidR="000A413D">
              <w:rPr>
                <w:rFonts w:asciiTheme="majorHAnsi" w:hAnsiTheme="majorHAnsi" w:cstheme="majorHAnsi"/>
                <w:sz w:val="20"/>
              </w:rPr>
              <w:t>8</w:t>
            </w:r>
            <w:r w:rsidR="00F456B1" w:rsidRPr="00FF2052">
              <w:rPr>
                <w:rFonts w:asciiTheme="majorHAnsi" w:hAnsiTheme="majorHAnsi" w:cstheme="majorHAnsi"/>
                <w:sz w:val="20"/>
              </w:rPr>
              <w:t xml:space="preserve"> </w:t>
            </w:r>
            <w:r w:rsidRPr="00FF2052">
              <w:rPr>
                <w:rFonts w:asciiTheme="majorHAnsi" w:hAnsiTheme="majorHAnsi" w:cstheme="majorHAnsi"/>
                <w:sz w:val="20"/>
              </w:rPr>
              <w:t>Milestone*</w:t>
            </w:r>
            <w:r w:rsidRPr="00FF2052">
              <w:rPr>
                <w:rFonts w:asciiTheme="majorHAnsi" w:hAnsiTheme="majorHAnsi" w:cstheme="majorHAnsi"/>
                <w:sz w:val="20"/>
              </w:rPr>
              <w:tab/>
            </w:r>
            <w:r w:rsidR="000A413D">
              <w:rPr>
                <w:rFonts w:asciiTheme="majorHAnsi" w:hAnsiTheme="majorHAnsi" w:cstheme="majorHAnsi"/>
                <w:sz w:val="20"/>
              </w:rPr>
              <w:t>141,849</w:t>
            </w:r>
            <w:r w:rsidRPr="006678FF">
              <w:rPr>
                <w:rFonts w:asciiTheme="majorHAnsi" w:hAnsiTheme="majorHAnsi" w:cstheme="majorHAnsi"/>
                <w:sz w:val="20"/>
              </w:rPr>
              <w:t xml:space="preserve"> tons</w:t>
            </w:r>
          </w:p>
          <w:p w14:paraId="4564FB4F" w14:textId="60C42FBB" w:rsidR="0099781D" w:rsidRPr="00FF2052" w:rsidRDefault="0099781D" w:rsidP="00D5346D">
            <w:pPr>
              <w:keepNext/>
              <w:keepLines/>
              <w:tabs>
                <w:tab w:val="left" w:pos="0"/>
                <w:tab w:val="left" w:pos="684"/>
                <w:tab w:val="right" w:leader="dot" w:pos="9198"/>
                <w:tab w:val="right" w:pos="9360"/>
              </w:tabs>
              <w:rPr>
                <w:rFonts w:asciiTheme="majorHAnsi" w:hAnsiTheme="majorHAnsi" w:cstheme="majorHAnsi"/>
                <w:sz w:val="20"/>
              </w:rPr>
            </w:pPr>
            <w:r w:rsidRPr="006678FF">
              <w:rPr>
                <w:rFonts w:asciiTheme="majorHAnsi" w:hAnsiTheme="majorHAnsi" w:cstheme="majorHAnsi"/>
                <w:sz w:val="20"/>
              </w:rPr>
              <w:t xml:space="preserve">Adjusted </w:t>
            </w:r>
            <w:r w:rsidR="000A413D">
              <w:rPr>
                <w:rFonts w:asciiTheme="majorHAnsi" w:hAnsiTheme="majorHAnsi" w:cstheme="majorHAnsi"/>
                <w:sz w:val="20"/>
              </w:rPr>
              <w:t>2018</w:t>
            </w:r>
            <w:r w:rsidRPr="006678FF">
              <w:rPr>
                <w:rFonts w:asciiTheme="majorHAnsi" w:hAnsiTheme="majorHAnsi" w:cstheme="majorHAnsi"/>
                <w:sz w:val="20"/>
              </w:rPr>
              <w:t xml:space="preserve"> Milestone</w:t>
            </w:r>
            <w:r w:rsidRPr="006678FF">
              <w:rPr>
                <w:rFonts w:asciiTheme="majorHAnsi" w:hAnsiTheme="majorHAnsi" w:cstheme="majorHAnsi"/>
                <w:sz w:val="20"/>
              </w:rPr>
              <w:tab/>
            </w:r>
            <w:r w:rsidR="000A413D">
              <w:rPr>
                <w:rFonts w:asciiTheme="majorHAnsi" w:hAnsiTheme="majorHAnsi" w:cstheme="majorHAnsi"/>
                <w:sz w:val="20"/>
              </w:rPr>
              <w:t>141,849</w:t>
            </w:r>
            <w:r w:rsidRPr="006678FF">
              <w:rPr>
                <w:rFonts w:asciiTheme="majorHAnsi" w:hAnsiTheme="majorHAnsi" w:cstheme="majorHAnsi"/>
                <w:szCs w:val="24"/>
              </w:rPr>
              <w:t xml:space="preserve"> </w:t>
            </w:r>
            <w:r w:rsidRPr="006678FF">
              <w:rPr>
                <w:rFonts w:asciiTheme="majorHAnsi" w:hAnsiTheme="majorHAnsi" w:cstheme="majorHAnsi"/>
                <w:sz w:val="20"/>
              </w:rPr>
              <w:t>tons</w:t>
            </w:r>
          </w:p>
        </w:tc>
      </w:tr>
      <w:tr w:rsidR="0099781D" w:rsidRPr="00FF2052" w14:paraId="2CAF17F1" w14:textId="77777777" w:rsidTr="00CC6F12">
        <w:trPr>
          <w:trHeight w:val="1088"/>
          <w:jc w:val="center"/>
        </w:trPr>
        <w:tc>
          <w:tcPr>
            <w:tcW w:w="9360" w:type="dxa"/>
            <w:tcBorders>
              <w:top w:val="single" w:sz="4" w:space="0" w:color="auto"/>
              <w:bottom w:val="single" w:sz="4" w:space="0" w:color="auto"/>
            </w:tcBorders>
          </w:tcPr>
          <w:p w14:paraId="6AC06F17" w14:textId="5BED2E86" w:rsidR="0099781D" w:rsidRPr="001E5198" w:rsidRDefault="00B76BF4" w:rsidP="00067C1B">
            <w:pPr>
              <w:keepNext/>
              <w:keepLines/>
              <w:tabs>
                <w:tab w:val="left" w:pos="0"/>
                <w:tab w:val="left" w:pos="684"/>
                <w:tab w:val="right" w:leader="dot" w:pos="8669"/>
                <w:tab w:val="right" w:pos="9360"/>
              </w:tabs>
              <w:spacing w:after="120"/>
              <w:rPr>
                <w:rFonts w:asciiTheme="majorHAnsi" w:hAnsiTheme="majorHAnsi" w:cstheme="majorHAnsi"/>
                <w:b/>
                <w:u w:val="single"/>
              </w:rPr>
            </w:pPr>
            <w:r w:rsidRPr="001E5198">
              <w:rPr>
                <w:rFonts w:asciiTheme="majorHAnsi" w:hAnsiTheme="majorHAnsi" w:cstheme="majorHAnsi"/>
                <w:b/>
                <w:u w:val="single"/>
              </w:rPr>
              <w:t>202</w:t>
            </w:r>
            <w:r w:rsidR="00011C94" w:rsidRPr="001E5198">
              <w:rPr>
                <w:rFonts w:asciiTheme="majorHAnsi" w:hAnsiTheme="majorHAnsi" w:cstheme="majorHAnsi"/>
                <w:b/>
                <w:u w:val="single"/>
              </w:rPr>
              <w:t>3</w:t>
            </w:r>
            <w:r w:rsidR="0055455E" w:rsidRPr="001E5198">
              <w:rPr>
                <w:rFonts w:asciiTheme="majorHAnsi" w:hAnsiTheme="majorHAnsi" w:cstheme="majorHAnsi"/>
                <w:b/>
                <w:u w:val="single"/>
              </w:rPr>
              <w:t xml:space="preserve"> </w:t>
            </w:r>
            <w:r w:rsidR="0099781D" w:rsidRPr="001E5198">
              <w:rPr>
                <w:rFonts w:asciiTheme="majorHAnsi" w:hAnsiTheme="majorHAnsi" w:cstheme="majorHAnsi"/>
                <w:b/>
                <w:u w:val="single"/>
              </w:rPr>
              <w:t>Sulfur Dioxide Emissions</w:t>
            </w:r>
          </w:p>
          <w:p w14:paraId="7372A69C" w14:textId="1C9685DB" w:rsidR="0099781D" w:rsidRPr="001E5198" w:rsidRDefault="0099781D">
            <w:pPr>
              <w:keepNext/>
              <w:keepLines/>
              <w:tabs>
                <w:tab w:val="left" w:pos="0"/>
                <w:tab w:val="left" w:pos="684"/>
                <w:tab w:val="right" w:leader="dot" w:pos="9198"/>
                <w:tab w:val="right" w:pos="9360"/>
              </w:tabs>
              <w:rPr>
                <w:rFonts w:asciiTheme="majorHAnsi" w:hAnsiTheme="majorHAnsi" w:cstheme="majorHAnsi"/>
                <w:sz w:val="20"/>
              </w:rPr>
            </w:pPr>
            <w:r w:rsidRPr="001E5198">
              <w:rPr>
                <w:rFonts w:asciiTheme="majorHAnsi" w:hAnsiTheme="majorHAnsi" w:cstheme="majorHAnsi"/>
                <w:sz w:val="20"/>
              </w:rPr>
              <w:t xml:space="preserve">Reported </w:t>
            </w:r>
            <w:r w:rsidR="00B76BF4" w:rsidRPr="001E5198">
              <w:rPr>
                <w:rFonts w:asciiTheme="majorHAnsi" w:hAnsiTheme="majorHAnsi" w:cstheme="majorHAnsi"/>
                <w:sz w:val="20"/>
              </w:rPr>
              <w:t>202</w:t>
            </w:r>
            <w:r w:rsidR="00011C94" w:rsidRPr="001E5198">
              <w:rPr>
                <w:rFonts w:asciiTheme="majorHAnsi" w:hAnsiTheme="majorHAnsi" w:cstheme="majorHAnsi"/>
                <w:sz w:val="20"/>
              </w:rPr>
              <w:t>3</w:t>
            </w:r>
            <w:r w:rsidR="0055455E" w:rsidRPr="001E5198">
              <w:rPr>
                <w:rFonts w:asciiTheme="majorHAnsi" w:hAnsiTheme="majorHAnsi" w:cstheme="majorHAnsi"/>
                <w:sz w:val="20"/>
              </w:rPr>
              <w:t xml:space="preserve"> </w:t>
            </w:r>
            <w:r w:rsidRPr="001E5198">
              <w:rPr>
                <w:rFonts w:asciiTheme="majorHAnsi" w:hAnsiTheme="majorHAnsi" w:cstheme="majorHAnsi"/>
                <w:sz w:val="20"/>
              </w:rPr>
              <w:t>Emissions</w:t>
            </w:r>
            <w:r w:rsidRPr="001E5198">
              <w:rPr>
                <w:rFonts w:asciiTheme="majorHAnsi" w:hAnsiTheme="majorHAnsi" w:cstheme="majorHAnsi"/>
                <w:sz w:val="20"/>
              </w:rPr>
              <w:tab/>
            </w:r>
            <w:r w:rsidR="00934F6E" w:rsidRPr="001E5198">
              <w:rPr>
                <w:rFonts w:asciiTheme="majorHAnsi" w:hAnsiTheme="majorHAnsi" w:cstheme="majorHAnsi"/>
                <w:sz w:val="20"/>
              </w:rPr>
              <w:t>41,420</w:t>
            </w:r>
            <w:r w:rsidR="000D6829" w:rsidRPr="001E5198">
              <w:rPr>
                <w:rFonts w:asciiTheme="majorHAnsi" w:hAnsiTheme="majorHAnsi" w:cstheme="majorHAnsi"/>
                <w:sz w:val="20"/>
              </w:rPr>
              <w:t xml:space="preserve"> </w:t>
            </w:r>
            <w:r w:rsidRPr="001E5198">
              <w:rPr>
                <w:rFonts w:asciiTheme="majorHAnsi" w:hAnsiTheme="majorHAnsi" w:cstheme="majorHAnsi"/>
                <w:sz w:val="20"/>
              </w:rPr>
              <w:t>tons</w:t>
            </w:r>
          </w:p>
          <w:p w14:paraId="106EA609" w14:textId="77777777" w:rsidR="006678FF" w:rsidRPr="001E5198" w:rsidRDefault="006678FF">
            <w:pPr>
              <w:tabs>
                <w:tab w:val="left" w:pos="0"/>
                <w:tab w:val="left" w:pos="684"/>
                <w:tab w:val="right" w:leader="dot" w:pos="9198"/>
                <w:tab w:val="right" w:pos="9360"/>
              </w:tabs>
              <w:rPr>
                <w:rFonts w:asciiTheme="majorHAnsi" w:hAnsiTheme="majorHAnsi" w:cstheme="majorHAnsi"/>
                <w:sz w:val="20"/>
              </w:rPr>
            </w:pPr>
            <w:r w:rsidRPr="001E5198">
              <w:rPr>
                <w:rFonts w:asciiTheme="majorHAnsi" w:hAnsiTheme="majorHAnsi" w:cstheme="majorHAnsi"/>
                <w:sz w:val="20"/>
              </w:rPr>
              <w:t>Adjustments**</w:t>
            </w:r>
          </w:p>
          <w:p w14:paraId="7FE46861" w14:textId="0199F6CA" w:rsidR="0099781D" w:rsidRPr="001E5198" w:rsidRDefault="006678FF">
            <w:pPr>
              <w:tabs>
                <w:tab w:val="left" w:pos="0"/>
                <w:tab w:val="left" w:pos="684"/>
                <w:tab w:val="right" w:leader="dot" w:pos="9198"/>
                <w:tab w:val="right" w:pos="9360"/>
              </w:tabs>
              <w:rPr>
                <w:rFonts w:asciiTheme="majorHAnsi" w:hAnsiTheme="majorHAnsi" w:cstheme="majorHAnsi"/>
                <w:sz w:val="20"/>
              </w:rPr>
            </w:pPr>
            <w:r w:rsidRPr="001E5198">
              <w:rPr>
                <w:rFonts w:asciiTheme="majorHAnsi" w:hAnsiTheme="majorHAnsi" w:cstheme="majorHAnsi"/>
                <w:sz w:val="20"/>
              </w:rPr>
              <w:tab/>
            </w:r>
            <w:r w:rsidR="0099781D" w:rsidRPr="001E5198">
              <w:rPr>
                <w:rFonts w:asciiTheme="majorHAnsi" w:hAnsiTheme="majorHAnsi" w:cstheme="majorHAnsi"/>
                <w:sz w:val="20"/>
              </w:rPr>
              <w:t>Emission Monitoring</w:t>
            </w:r>
            <w:r w:rsidR="00C5513B" w:rsidRPr="001E5198">
              <w:rPr>
                <w:rFonts w:asciiTheme="majorHAnsi" w:hAnsiTheme="majorHAnsi" w:cstheme="majorHAnsi"/>
                <w:sz w:val="20"/>
              </w:rPr>
              <w:t xml:space="preserve">, </w:t>
            </w:r>
            <w:r w:rsidR="0099781D" w:rsidRPr="001E5198">
              <w:rPr>
                <w:rFonts w:asciiTheme="majorHAnsi" w:hAnsiTheme="majorHAnsi" w:cstheme="majorHAnsi"/>
                <w:sz w:val="20"/>
              </w:rPr>
              <w:t>Calculation Methods</w:t>
            </w:r>
            <w:r w:rsidR="00C5513B" w:rsidRPr="001E5198">
              <w:rPr>
                <w:rFonts w:asciiTheme="majorHAnsi" w:hAnsiTheme="majorHAnsi" w:cstheme="majorHAnsi"/>
                <w:sz w:val="20"/>
              </w:rPr>
              <w:t>, and Enforcement Actions</w:t>
            </w:r>
            <w:r w:rsidR="0099781D" w:rsidRPr="001E5198">
              <w:rPr>
                <w:rFonts w:asciiTheme="majorHAnsi" w:hAnsiTheme="majorHAnsi" w:cstheme="majorHAnsi"/>
                <w:sz w:val="20"/>
              </w:rPr>
              <w:t xml:space="preserve"> </w:t>
            </w:r>
            <w:r w:rsidR="0099781D" w:rsidRPr="001E5198">
              <w:rPr>
                <w:rFonts w:asciiTheme="majorHAnsi" w:hAnsiTheme="majorHAnsi" w:cstheme="majorHAnsi"/>
                <w:sz w:val="20"/>
              </w:rPr>
              <w:tab/>
            </w:r>
            <w:r w:rsidR="0017056D" w:rsidRPr="001E5198">
              <w:rPr>
                <w:rFonts w:asciiTheme="majorHAnsi" w:hAnsiTheme="majorHAnsi" w:cstheme="majorHAnsi"/>
                <w:sz w:val="20"/>
              </w:rPr>
              <w:t>9,34</w:t>
            </w:r>
            <w:r w:rsidR="004A2D0D">
              <w:rPr>
                <w:rFonts w:asciiTheme="majorHAnsi" w:hAnsiTheme="majorHAnsi" w:cstheme="majorHAnsi"/>
                <w:sz w:val="20"/>
              </w:rPr>
              <w:t>7</w:t>
            </w:r>
            <w:r w:rsidR="009E41FE" w:rsidRPr="001E5198">
              <w:rPr>
                <w:rFonts w:asciiTheme="majorHAnsi" w:hAnsiTheme="majorHAnsi" w:cstheme="majorHAnsi"/>
                <w:sz w:val="20"/>
              </w:rPr>
              <w:t xml:space="preserve"> </w:t>
            </w:r>
            <w:r w:rsidR="0099781D" w:rsidRPr="001E5198">
              <w:rPr>
                <w:rFonts w:asciiTheme="majorHAnsi" w:hAnsiTheme="majorHAnsi" w:cstheme="majorHAnsi"/>
                <w:sz w:val="20"/>
              </w:rPr>
              <w:t>tons</w:t>
            </w:r>
          </w:p>
          <w:p w14:paraId="78854B85" w14:textId="24DF78E6" w:rsidR="0099781D" w:rsidRPr="001E5198" w:rsidRDefault="0099781D" w:rsidP="004D573D">
            <w:pPr>
              <w:keepNext/>
              <w:keepLines/>
              <w:tabs>
                <w:tab w:val="left" w:pos="0"/>
                <w:tab w:val="left" w:pos="684"/>
                <w:tab w:val="right" w:leader="dot" w:pos="9198"/>
                <w:tab w:val="right" w:pos="9360"/>
              </w:tabs>
              <w:rPr>
                <w:rFonts w:asciiTheme="majorHAnsi" w:hAnsiTheme="majorHAnsi" w:cstheme="majorHAnsi"/>
                <w:sz w:val="20"/>
              </w:rPr>
            </w:pPr>
            <w:r w:rsidRPr="001E5198">
              <w:rPr>
                <w:rFonts w:asciiTheme="majorHAnsi" w:hAnsiTheme="majorHAnsi" w:cstheme="majorHAnsi"/>
                <w:sz w:val="20"/>
              </w:rPr>
              <w:t xml:space="preserve">Adjusted </w:t>
            </w:r>
            <w:r w:rsidR="00B76BF4" w:rsidRPr="001E5198">
              <w:rPr>
                <w:rFonts w:asciiTheme="majorHAnsi" w:hAnsiTheme="majorHAnsi" w:cstheme="majorHAnsi"/>
                <w:sz w:val="20"/>
              </w:rPr>
              <w:t>202</w:t>
            </w:r>
            <w:r w:rsidR="00011C94" w:rsidRPr="001E5198">
              <w:rPr>
                <w:rFonts w:asciiTheme="majorHAnsi" w:hAnsiTheme="majorHAnsi" w:cstheme="majorHAnsi"/>
                <w:sz w:val="20"/>
              </w:rPr>
              <w:t>3</w:t>
            </w:r>
            <w:r w:rsidR="0055455E" w:rsidRPr="001E5198">
              <w:rPr>
                <w:rFonts w:asciiTheme="majorHAnsi" w:hAnsiTheme="majorHAnsi" w:cstheme="majorHAnsi"/>
                <w:sz w:val="20"/>
              </w:rPr>
              <w:t xml:space="preserve"> </w:t>
            </w:r>
            <w:r w:rsidRPr="001E5198">
              <w:rPr>
                <w:rFonts w:asciiTheme="majorHAnsi" w:hAnsiTheme="majorHAnsi" w:cstheme="majorHAnsi"/>
                <w:sz w:val="20"/>
              </w:rPr>
              <w:t>Emissions (rounded number)</w:t>
            </w:r>
            <w:r w:rsidRPr="001E5198">
              <w:rPr>
                <w:rFonts w:asciiTheme="majorHAnsi" w:hAnsiTheme="majorHAnsi" w:cstheme="majorHAnsi"/>
                <w:sz w:val="20"/>
              </w:rPr>
              <w:tab/>
            </w:r>
            <w:r w:rsidR="00934F6E" w:rsidRPr="001E5198">
              <w:rPr>
                <w:rFonts w:asciiTheme="majorHAnsi" w:hAnsiTheme="majorHAnsi" w:cstheme="majorHAnsi"/>
                <w:sz w:val="20"/>
              </w:rPr>
              <w:t>50,76</w:t>
            </w:r>
            <w:r w:rsidR="00ED4785">
              <w:rPr>
                <w:rFonts w:asciiTheme="majorHAnsi" w:hAnsiTheme="majorHAnsi" w:cstheme="majorHAnsi"/>
                <w:sz w:val="20"/>
              </w:rPr>
              <w:t>7</w:t>
            </w:r>
            <w:r w:rsidR="007E0C20" w:rsidRPr="001E5198">
              <w:rPr>
                <w:rFonts w:asciiTheme="majorHAnsi" w:hAnsiTheme="majorHAnsi" w:cstheme="majorHAnsi"/>
                <w:szCs w:val="24"/>
              </w:rPr>
              <w:t xml:space="preserve"> </w:t>
            </w:r>
            <w:r w:rsidRPr="001E5198">
              <w:rPr>
                <w:rFonts w:asciiTheme="majorHAnsi" w:hAnsiTheme="majorHAnsi" w:cstheme="majorHAnsi"/>
                <w:sz w:val="20"/>
              </w:rPr>
              <w:t>tons</w:t>
            </w:r>
          </w:p>
        </w:tc>
      </w:tr>
      <w:tr w:rsidR="0099781D" w:rsidRPr="00C90E4A" w14:paraId="37E58685" w14:textId="77777777" w:rsidTr="00CC6F12">
        <w:trPr>
          <w:trHeight w:val="1214"/>
          <w:jc w:val="center"/>
        </w:trPr>
        <w:tc>
          <w:tcPr>
            <w:tcW w:w="9360" w:type="dxa"/>
            <w:tcBorders>
              <w:top w:val="single" w:sz="4" w:space="0" w:color="auto"/>
            </w:tcBorders>
          </w:tcPr>
          <w:p w14:paraId="2C4D2A9E" w14:textId="77777777" w:rsidR="0099781D" w:rsidRPr="001E5198" w:rsidRDefault="0099781D" w:rsidP="00067C1B">
            <w:pPr>
              <w:keepNext/>
              <w:keepLines/>
              <w:tabs>
                <w:tab w:val="left" w:pos="0"/>
                <w:tab w:val="left" w:pos="684"/>
                <w:tab w:val="right" w:leader="dot" w:pos="8669"/>
                <w:tab w:val="right" w:pos="9360"/>
              </w:tabs>
              <w:spacing w:after="120"/>
              <w:rPr>
                <w:rFonts w:asciiTheme="majorHAnsi" w:hAnsiTheme="majorHAnsi" w:cstheme="majorHAnsi"/>
                <w:b/>
                <w:u w:val="single"/>
              </w:rPr>
            </w:pPr>
            <w:r w:rsidRPr="001E5198">
              <w:rPr>
                <w:rFonts w:asciiTheme="majorHAnsi" w:hAnsiTheme="majorHAnsi" w:cstheme="majorHAnsi"/>
                <w:b/>
                <w:u w:val="single"/>
              </w:rPr>
              <w:t>Comparison of Emissions to Milestone</w:t>
            </w:r>
          </w:p>
          <w:p w14:paraId="2768C438" w14:textId="7712285D" w:rsidR="0099781D" w:rsidRPr="001E5198" w:rsidRDefault="00B76BF4">
            <w:pPr>
              <w:keepNext/>
              <w:keepLines/>
              <w:tabs>
                <w:tab w:val="left" w:pos="0"/>
                <w:tab w:val="left" w:pos="684"/>
                <w:tab w:val="right" w:leader="dot" w:pos="9198"/>
                <w:tab w:val="right" w:pos="9360"/>
              </w:tabs>
              <w:rPr>
                <w:rFonts w:asciiTheme="majorHAnsi" w:hAnsiTheme="majorHAnsi" w:cstheme="majorHAnsi"/>
                <w:sz w:val="20"/>
              </w:rPr>
            </w:pPr>
            <w:r w:rsidRPr="001E5198">
              <w:rPr>
                <w:rFonts w:asciiTheme="majorHAnsi" w:hAnsiTheme="majorHAnsi" w:cstheme="majorHAnsi"/>
                <w:sz w:val="20"/>
              </w:rPr>
              <w:t>202</w:t>
            </w:r>
            <w:r w:rsidR="00011C94" w:rsidRPr="001E5198">
              <w:rPr>
                <w:rFonts w:asciiTheme="majorHAnsi" w:hAnsiTheme="majorHAnsi" w:cstheme="majorHAnsi"/>
                <w:sz w:val="20"/>
              </w:rPr>
              <w:t>3</w:t>
            </w:r>
            <w:r w:rsidR="0055455E" w:rsidRPr="001E5198">
              <w:rPr>
                <w:rFonts w:asciiTheme="majorHAnsi" w:hAnsiTheme="majorHAnsi" w:cstheme="majorHAnsi"/>
                <w:sz w:val="20"/>
              </w:rPr>
              <w:t xml:space="preserve"> </w:t>
            </w:r>
            <w:r w:rsidR="0099781D" w:rsidRPr="001E5198">
              <w:rPr>
                <w:rFonts w:asciiTheme="majorHAnsi" w:hAnsiTheme="majorHAnsi" w:cstheme="majorHAnsi"/>
                <w:sz w:val="20"/>
              </w:rPr>
              <w:t>Adjusted Emissions</w:t>
            </w:r>
            <w:r w:rsidR="0099781D" w:rsidRPr="001E5198">
              <w:rPr>
                <w:rFonts w:asciiTheme="majorHAnsi" w:hAnsiTheme="majorHAnsi" w:cstheme="majorHAnsi"/>
                <w:sz w:val="20"/>
              </w:rPr>
              <w:tab/>
            </w:r>
            <w:r w:rsidR="00FD686A" w:rsidRPr="001E5198">
              <w:rPr>
                <w:rFonts w:asciiTheme="majorHAnsi" w:hAnsiTheme="majorHAnsi" w:cstheme="majorHAnsi"/>
                <w:sz w:val="20"/>
              </w:rPr>
              <w:t>50,76</w:t>
            </w:r>
            <w:r w:rsidR="00ED4785">
              <w:rPr>
                <w:rFonts w:asciiTheme="majorHAnsi" w:hAnsiTheme="majorHAnsi" w:cstheme="majorHAnsi"/>
                <w:sz w:val="20"/>
              </w:rPr>
              <w:t>7</w:t>
            </w:r>
            <w:r w:rsidR="008C1BE6" w:rsidRPr="001E5198">
              <w:rPr>
                <w:rFonts w:asciiTheme="majorHAnsi" w:hAnsiTheme="majorHAnsi" w:cstheme="majorHAnsi"/>
                <w:sz w:val="20"/>
              </w:rPr>
              <w:t xml:space="preserve"> </w:t>
            </w:r>
            <w:r w:rsidR="00C5513B" w:rsidRPr="001E5198">
              <w:rPr>
                <w:rFonts w:asciiTheme="majorHAnsi" w:hAnsiTheme="majorHAnsi" w:cstheme="majorHAnsi"/>
                <w:sz w:val="20"/>
              </w:rPr>
              <w:t>tons</w:t>
            </w:r>
          </w:p>
          <w:p w14:paraId="793C637E" w14:textId="5B4BC8E7" w:rsidR="0099781D" w:rsidRPr="001E5198" w:rsidRDefault="0099781D">
            <w:pPr>
              <w:keepNext/>
              <w:keepLines/>
              <w:tabs>
                <w:tab w:val="left" w:pos="0"/>
                <w:tab w:val="left" w:pos="684"/>
                <w:tab w:val="right" w:leader="dot" w:pos="9198"/>
                <w:tab w:val="right" w:pos="9360"/>
              </w:tabs>
              <w:ind w:left="15"/>
              <w:rPr>
                <w:rFonts w:asciiTheme="majorHAnsi" w:hAnsiTheme="majorHAnsi" w:cstheme="majorHAnsi"/>
                <w:sz w:val="20"/>
              </w:rPr>
            </w:pPr>
            <w:r w:rsidRPr="001E5198">
              <w:rPr>
                <w:rFonts w:asciiTheme="majorHAnsi" w:hAnsiTheme="majorHAnsi" w:cstheme="majorHAnsi"/>
                <w:sz w:val="20"/>
              </w:rPr>
              <w:t xml:space="preserve">Adjusted </w:t>
            </w:r>
            <w:r w:rsidR="00165759" w:rsidRPr="001E5198">
              <w:rPr>
                <w:rFonts w:asciiTheme="majorHAnsi" w:hAnsiTheme="majorHAnsi" w:cstheme="majorHAnsi"/>
                <w:sz w:val="20"/>
              </w:rPr>
              <w:t>Three</w:t>
            </w:r>
            <w:r w:rsidRPr="001E5198">
              <w:rPr>
                <w:rFonts w:asciiTheme="majorHAnsi" w:hAnsiTheme="majorHAnsi" w:cstheme="majorHAnsi"/>
                <w:sz w:val="20"/>
              </w:rPr>
              <w:t xml:space="preserve">-State </w:t>
            </w:r>
            <w:r w:rsidR="00C24CF7" w:rsidRPr="001E5198">
              <w:rPr>
                <w:rFonts w:asciiTheme="majorHAnsi" w:hAnsiTheme="majorHAnsi" w:cstheme="majorHAnsi"/>
                <w:sz w:val="20"/>
              </w:rPr>
              <w:t>201</w:t>
            </w:r>
            <w:r w:rsidR="000A413D" w:rsidRPr="001E5198">
              <w:rPr>
                <w:rFonts w:asciiTheme="majorHAnsi" w:hAnsiTheme="majorHAnsi" w:cstheme="majorHAnsi"/>
                <w:sz w:val="20"/>
              </w:rPr>
              <w:t>8</w:t>
            </w:r>
            <w:r w:rsidRPr="001E5198">
              <w:rPr>
                <w:rFonts w:asciiTheme="majorHAnsi" w:hAnsiTheme="majorHAnsi" w:cstheme="majorHAnsi"/>
                <w:sz w:val="20"/>
              </w:rPr>
              <w:t xml:space="preserve"> Milestone</w:t>
            </w:r>
            <w:r w:rsidRPr="001E5198">
              <w:rPr>
                <w:rFonts w:asciiTheme="majorHAnsi" w:hAnsiTheme="majorHAnsi" w:cstheme="majorHAnsi"/>
                <w:sz w:val="20"/>
              </w:rPr>
              <w:tab/>
            </w:r>
            <w:r w:rsidR="000A413D" w:rsidRPr="001E5198">
              <w:rPr>
                <w:rFonts w:asciiTheme="majorHAnsi" w:hAnsiTheme="majorHAnsi" w:cstheme="majorHAnsi"/>
                <w:sz w:val="20"/>
              </w:rPr>
              <w:t>141,849</w:t>
            </w:r>
            <w:r w:rsidR="000A413D" w:rsidRPr="001E5198">
              <w:rPr>
                <w:rFonts w:asciiTheme="majorHAnsi" w:hAnsiTheme="majorHAnsi" w:cstheme="majorHAnsi"/>
                <w:szCs w:val="24"/>
              </w:rPr>
              <w:t xml:space="preserve"> </w:t>
            </w:r>
            <w:r w:rsidRPr="001E5198">
              <w:rPr>
                <w:rFonts w:asciiTheme="majorHAnsi" w:hAnsiTheme="majorHAnsi" w:cstheme="majorHAnsi"/>
                <w:sz w:val="20"/>
              </w:rPr>
              <w:t>tons</w:t>
            </w:r>
          </w:p>
          <w:p w14:paraId="1CC1E019" w14:textId="3D1138F6" w:rsidR="0099781D" w:rsidRPr="001E5198" w:rsidRDefault="0099781D">
            <w:pPr>
              <w:keepNext/>
              <w:keepLines/>
              <w:tabs>
                <w:tab w:val="left" w:pos="0"/>
                <w:tab w:val="left" w:pos="684"/>
                <w:tab w:val="right" w:leader="dot" w:pos="9198"/>
                <w:tab w:val="right" w:pos="9360"/>
              </w:tabs>
              <w:ind w:left="15"/>
              <w:rPr>
                <w:rFonts w:asciiTheme="majorHAnsi" w:hAnsiTheme="majorHAnsi" w:cstheme="majorHAnsi"/>
                <w:sz w:val="20"/>
              </w:rPr>
            </w:pPr>
            <w:r w:rsidRPr="001E5198">
              <w:rPr>
                <w:rFonts w:asciiTheme="majorHAnsi" w:hAnsiTheme="majorHAnsi" w:cstheme="majorHAnsi"/>
                <w:sz w:val="20"/>
              </w:rPr>
              <w:t>Difference (Negative Value = Emissions &lt; Milestone)</w:t>
            </w:r>
            <w:r w:rsidRPr="001E5198">
              <w:rPr>
                <w:rFonts w:asciiTheme="majorHAnsi" w:hAnsiTheme="majorHAnsi" w:cstheme="majorHAnsi"/>
                <w:sz w:val="20"/>
              </w:rPr>
              <w:tab/>
            </w:r>
            <w:r w:rsidR="0017056D" w:rsidRPr="001E5198">
              <w:rPr>
                <w:rFonts w:asciiTheme="majorHAnsi" w:hAnsiTheme="majorHAnsi" w:cstheme="majorHAnsi"/>
                <w:sz w:val="20"/>
              </w:rPr>
              <w:t>-</w:t>
            </w:r>
            <w:r w:rsidR="001E5198" w:rsidRPr="001E5198">
              <w:rPr>
                <w:rFonts w:asciiTheme="majorHAnsi" w:hAnsiTheme="majorHAnsi" w:cstheme="majorHAnsi"/>
                <w:sz w:val="20"/>
              </w:rPr>
              <w:t>91,08</w:t>
            </w:r>
            <w:r w:rsidR="005012FE">
              <w:rPr>
                <w:rFonts w:asciiTheme="majorHAnsi" w:hAnsiTheme="majorHAnsi" w:cstheme="majorHAnsi"/>
                <w:sz w:val="20"/>
              </w:rPr>
              <w:t>1</w:t>
            </w:r>
            <w:r w:rsidR="008C1BE6" w:rsidRPr="001E5198">
              <w:rPr>
                <w:rFonts w:asciiTheme="majorHAnsi" w:hAnsiTheme="majorHAnsi" w:cstheme="majorHAnsi"/>
                <w:sz w:val="20"/>
              </w:rPr>
              <w:t xml:space="preserve"> </w:t>
            </w:r>
            <w:r w:rsidRPr="001E5198">
              <w:rPr>
                <w:rFonts w:asciiTheme="majorHAnsi" w:hAnsiTheme="majorHAnsi" w:cstheme="majorHAnsi"/>
                <w:sz w:val="20"/>
              </w:rPr>
              <w:t>tons</w:t>
            </w:r>
          </w:p>
          <w:p w14:paraId="54BED45B" w14:textId="1BEB6622" w:rsidR="0099781D" w:rsidRPr="001E5198" w:rsidRDefault="00B76BF4" w:rsidP="004D573D">
            <w:pPr>
              <w:keepNext/>
              <w:keepLines/>
              <w:tabs>
                <w:tab w:val="right" w:leader="dot" w:pos="0"/>
                <w:tab w:val="left" w:pos="684"/>
                <w:tab w:val="right" w:leader="dot" w:pos="9198"/>
                <w:tab w:val="right" w:pos="9360"/>
              </w:tabs>
              <w:ind w:left="15"/>
              <w:rPr>
                <w:rFonts w:asciiTheme="majorHAnsi" w:hAnsiTheme="majorHAnsi" w:cstheme="majorHAnsi"/>
                <w:sz w:val="20"/>
              </w:rPr>
            </w:pPr>
            <w:r w:rsidRPr="001E5198">
              <w:rPr>
                <w:rFonts w:asciiTheme="majorHAnsi" w:hAnsiTheme="majorHAnsi" w:cstheme="majorHAnsi"/>
                <w:sz w:val="20"/>
              </w:rPr>
              <w:t>202</w:t>
            </w:r>
            <w:r w:rsidR="00136A28" w:rsidRPr="001E5198">
              <w:rPr>
                <w:rFonts w:asciiTheme="majorHAnsi" w:hAnsiTheme="majorHAnsi" w:cstheme="majorHAnsi"/>
                <w:sz w:val="20"/>
              </w:rPr>
              <w:t>3</w:t>
            </w:r>
            <w:r w:rsidR="0099781D" w:rsidRPr="001E5198">
              <w:rPr>
                <w:rFonts w:asciiTheme="majorHAnsi" w:hAnsiTheme="majorHAnsi" w:cstheme="majorHAnsi"/>
                <w:sz w:val="20"/>
              </w:rPr>
              <w:t xml:space="preserve"> Emissions as Percent of </w:t>
            </w:r>
            <w:r w:rsidR="00C24CF7" w:rsidRPr="001E5198">
              <w:rPr>
                <w:rFonts w:asciiTheme="majorHAnsi" w:hAnsiTheme="majorHAnsi" w:cstheme="majorHAnsi"/>
                <w:sz w:val="20"/>
              </w:rPr>
              <w:t>201</w:t>
            </w:r>
            <w:r w:rsidR="000A413D" w:rsidRPr="001E5198">
              <w:rPr>
                <w:rFonts w:asciiTheme="majorHAnsi" w:hAnsiTheme="majorHAnsi" w:cstheme="majorHAnsi"/>
                <w:sz w:val="20"/>
              </w:rPr>
              <w:t>8</w:t>
            </w:r>
            <w:r w:rsidR="0099781D" w:rsidRPr="001E5198">
              <w:rPr>
                <w:rFonts w:asciiTheme="majorHAnsi" w:hAnsiTheme="majorHAnsi" w:cstheme="majorHAnsi"/>
                <w:sz w:val="20"/>
              </w:rPr>
              <w:t xml:space="preserve"> Milestone</w:t>
            </w:r>
            <w:r w:rsidR="0099781D" w:rsidRPr="001E5198">
              <w:rPr>
                <w:rFonts w:asciiTheme="majorHAnsi" w:hAnsiTheme="majorHAnsi" w:cstheme="majorHAnsi"/>
                <w:sz w:val="20"/>
              </w:rPr>
              <w:tab/>
            </w:r>
            <w:r w:rsidR="001E5198" w:rsidRPr="001E5198">
              <w:rPr>
                <w:rFonts w:asciiTheme="majorHAnsi" w:hAnsiTheme="majorHAnsi" w:cstheme="majorHAnsi"/>
                <w:sz w:val="20"/>
              </w:rPr>
              <w:t>35.8</w:t>
            </w:r>
            <w:r w:rsidR="0017056D" w:rsidRPr="001E5198">
              <w:rPr>
                <w:rFonts w:asciiTheme="majorHAnsi" w:hAnsiTheme="majorHAnsi" w:cstheme="majorHAnsi"/>
                <w:sz w:val="20"/>
              </w:rPr>
              <w:t>%</w:t>
            </w:r>
          </w:p>
        </w:tc>
      </w:tr>
    </w:tbl>
    <w:p w14:paraId="7B665F86" w14:textId="77777777" w:rsidR="0099781D" w:rsidRPr="00067C1B" w:rsidRDefault="004A0CC1" w:rsidP="00050219">
      <w:pPr>
        <w:keepNext/>
        <w:keepLines/>
        <w:tabs>
          <w:tab w:val="left" w:pos="360"/>
        </w:tabs>
        <w:spacing w:before="120"/>
        <w:ind w:left="360" w:hanging="360"/>
        <w:rPr>
          <w:rFonts w:asciiTheme="minorHAnsi" w:hAnsiTheme="minorHAnsi"/>
          <w:sz w:val="18"/>
          <w:szCs w:val="18"/>
        </w:rPr>
      </w:pPr>
      <w:r w:rsidRPr="00067C1B">
        <w:rPr>
          <w:rFonts w:asciiTheme="minorHAnsi" w:hAnsiTheme="minorHAnsi"/>
          <w:sz w:val="18"/>
          <w:szCs w:val="18"/>
        </w:rPr>
        <w:t>*</w:t>
      </w:r>
      <w:r w:rsidRPr="00067C1B">
        <w:rPr>
          <w:rFonts w:asciiTheme="minorHAnsi" w:hAnsiTheme="minorHAnsi"/>
          <w:sz w:val="18"/>
          <w:szCs w:val="18"/>
        </w:rPr>
        <w:tab/>
      </w:r>
      <w:r w:rsidR="0099781D" w:rsidRPr="00067C1B">
        <w:rPr>
          <w:rFonts w:asciiTheme="minorHAnsi" w:hAnsiTheme="minorHAnsi"/>
          <w:sz w:val="18"/>
          <w:szCs w:val="18"/>
        </w:rPr>
        <w:t>See the Regional Milestones section of each state's 309 plan.</w:t>
      </w:r>
    </w:p>
    <w:p w14:paraId="216B9543" w14:textId="77777777" w:rsidR="0099781D" w:rsidRPr="00067C1B" w:rsidRDefault="0099781D" w:rsidP="00067C1B">
      <w:pPr>
        <w:keepNext/>
        <w:keepLines/>
        <w:tabs>
          <w:tab w:val="left" w:pos="360"/>
        </w:tabs>
        <w:ind w:left="360" w:hanging="360"/>
        <w:rPr>
          <w:rFonts w:asciiTheme="minorHAnsi" w:hAnsiTheme="minorHAnsi"/>
          <w:sz w:val="18"/>
          <w:szCs w:val="18"/>
        </w:rPr>
      </w:pPr>
      <w:r w:rsidRPr="00067C1B">
        <w:rPr>
          <w:rFonts w:asciiTheme="minorHAnsi" w:hAnsiTheme="minorHAnsi"/>
          <w:sz w:val="18"/>
          <w:szCs w:val="18"/>
        </w:rPr>
        <w:t>**</w:t>
      </w:r>
      <w:r w:rsidRPr="00067C1B">
        <w:rPr>
          <w:rFonts w:asciiTheme="minorHAnsi" w:hAnsiTheme="minorHAnsi"/>
          <w:sz w:val="18"/>
          <w:szCs w:val="18"/>
        </w:rPr>
        <w:tab/>
        <w:t>See the Annual Emissions Report section of each state's 309 plan.</w:t>
      </w:r>
    </w:p>
    <w:p w14:paraId="3749EF4D" w14:textId="77777777" w:rsidR="0099781D" w:rsidRPr="005F018D" w:rsidRDefault="0099781D">
      <w:pPr>
        <w:sectPr w:rsidR="0099781D" w:rsidRPr="005F018D" w:rsidSect="00CD1084">
          <w:headerReference w:type="even" r:id="rId20"/>
          <w:headerReference w:type="default" r:id="rId21"/>
          <w:footerReference w:type="default" r:id="rId22"/>
          <w:headerReference w:type="first" r:id="rId23"/>
          <w:footerReference w:type="first" r:id="rId24"/>
          <w:footnotePr>
            <w:numFmt w:val="lowerLetter"/>
          </w:footnotePr>
          <w:endnotePr>
            <w:numFmt w:val="lowerLetter"/>
          </w:endnotePr>
          <w:pgSz w:w="12240" w:h="15840" w:code="1"/>
          <w:pgMar w:top="720" w:right="1350" w:bottom="1440" w:left="1440" w:header="720" w:footer="720" w:gutter="0"/>
          <w:pgNumType w:start="1"/>
          <w:cols w:space="720"/>
          <w:docGrid w:linePitch="326"/>
        </w:sectPr>
      </w:pPr>
    </w:p>
    <w:p w14:paraId="2A6E2D26" w14:textId="68A81C84" w:rsidR="0099781D" w:rsidRPr="005F018D" w:rsidRDefault="00B76BF4" w:rsidP="00C90E4A">
      <w:pPr>
        <w:pStyle w:val="Heading1"/>
        <w:jc w:val="center"/>
      </w:pPr>
      <w:r>
        <w:lastRenderedPageBreak/>
        <w:t>202</w:t>
      </w:r>
      <w:r w:rsidR="00136A28">
        <w:t>3</w:t>
      </w:r>
      <w:r w:rsidR="0055455E" w:rsidRPr="000A48CF">
        <w:t xml:space="preserve"> </w:t>
      </w:r>
      <w:r w:rsidR="0099781D" w:rsidRPr="000A48CF">
        <w:t>Regional</w:t>
      </w:r>
      <w:r w:rsidR="0099781D" w:rsidRPr="005F018D">
        <w:t xml:space="preserve"> SO</w:t>
      </w:r>
      <w:r w:rsidR="0099781D" w:rsidRPr="005F018D">
        <w:rPr>
          <w:vertAlign w:val="subscript"/>
        </w:rPr>
        <w:t>2</w:t>
      </w:r>
      <w:r w:rsidR="0099781D" w:rsidRPr="005F018D">
        <w:t xml:space="preserve"> Emissions and Milestone Report</w:t>
      </w:r>
    </w:p>
    <w:p w14:paraId="5FC6CBEA" w14:textId="77777777" w:rsidR="0099781D" w:rsidRPr="00C90E4A" w:rsidRDefault="005142EC" w:rsidP="004A0C4C">
      <w:pPr>
        <w:pStyle w:val="Heading2"/>
        <w:rPr>
          <w:b w:val="0"/>
        </w:rPr>
      </w:pPr>
      <w:r w:rsidRPr="00C90E4A">
        <w:rPr>
          <w:b w:val="0"/>
        </w:rPr>
        <w:t>1.0</w:t>
      </w:r>
      <w:r w:rsidRPr="00C90E4A">
        <w:rPr>
          <w:b w:val="0"/>
        </w:rPr>
        <w:tab/>
      </w:r>
      <w:r w:rsidR="0099781D" w:rsidRPr="00C90E4A">
        <w:rPr>
          <w:b w:val="0"/>
        </w:rPr>
        <w:t>Introduction</w:t>
      </w:r>
    </w:p>
    <w:p w14:paraId="6889CA4A" w14:textId="77777777" w:rsidR="0099781D" w:rsidRPr="00C90E4A" w:rsidRDefault="0099781D" w:rsidP="004A0C4C">
      <w:pPr>
        <w:pStyle w:val="Heading2"/>
        <w:spacing w:before="0"/>
        <w:ind w:firstLine="720"/>
        <w:rPr>
          <w:b w:val="0"/>
        </w:rPr>
      </w:pPr>
      <w:r w:rsidRPr="00C90E4A">
        <w:rPr>
          <w:b w:val="0"/>
        </w:rPr>
        <w:t>1.1</w:t>
      </w:r>
      <w:r w:rsidR="005142EC" w:rsidRPr="00C90E4A">
        <w:rPr>
          <w:b w:val="0"/>
        </w:rPr>
        <w:tab/>
      </w:r>
      <w:r w:rsidRPr="00C90E4A">
        <w:rPr>
          <w:b w:val="0"/>
        </w:rPr>
        <w:t>Background</w:t>
      </w:r>
    </w:p>
    <w:p w14:paraId="09226382" w14:textId="22818D56" w:rsidR="0099781D" w:rsidRPr="00CC6F12" w:rsidRDefault="0099781D" w:rsidP="00CC6F12">
      <w:pPr>
        <w:spacing w:after="200"/>
        <w:rPr>
          <w:rStyle w:val="WP9Hyperlink"/>
          <w:rFonts w:asciiTheme="minorHAnsi" w:hAnsiTheme="minorHAnsi"/>
          <w:color w:val="auto"/>
          <w:u w:val="none"/>
        </w:rPr>
      </w:pPr>
      <w:r w:rsidRPr="003E17F1">
        <w:rPr>
          <w:rFonts w:asciiTheme="minorHAnsi" w:hAnsiTheme="minorHAnsi"/>
        </w:rPr>
        <w:tab/>
      </w:r>
      <w:r w:rsidRPr="00CC6F12">
        <w:rPr>
          <w:rFonts w:asciiTheme="minorHAnsi" w:hAnsiTheme="minorHAnsi"/>
        </w:rPr>
        <w:t>Under Section 309 of the Federal Regional Haze Rule (40 CFR Part 51), nine western states</w:t>
      </w:r>
      <w:r w:rsidR="004A0C4C">
        <w:rPr>
          <w:rFonts w:asciiTheme="minorHAnsi" w:hAnsiTheme="minorHAnsi"/>
        </w:rPr>
        <w:t>,</w:t>
      </w:r>
      <w:r w:rsidRPr="00CC6F12">
        <w:rPr>
          <w:rStyle w:val="WP9Hyperlink"/>
          <w:rFonts w:asciiTheme="minorHAnsi" w:hAnsiTheme="minorHAnsi"/>
          <w:u w:val="none"/>
        </w:rPr>
        <w:t xml:space="preserve"> </w:t>
      </w:r>
      <w:r w:rsidRPr="00CC6F12">
        <w:rPr>
          <w:rStyle w:val="WP9Hyperlink"/>
          <w:rFonts w:asciiTheme="minorHAnsi" w:hAnsiTheme="minorHAnsi"/>
          <w:color w:val="auto"/>
          <w:u w:val="none"/>
        </w:rPr>
        <w:t>and the tribes within those states</w:t>
      </w:r>
      <w:r w:rsidR="004A0C4C">
        <w:rPr>
          <w:rStyle w:val="WP9Hyperlink"/>
          <w:rFonts w:asciiTheme="minorHAnsi" w:hAnsiTheme="minorHAnsi"/>
          <w:color w:val="auto"/>
          <w:u w:val="none"/>
        </w:rPr>
        <w:t>, have the option of submitting State Implementation P</w:t>
      </w:r>
      <w:r w:rsidRPr="00CC6F12">
        <w:rPr>
          <w:rStyle w:val="WP9Hyperlink"/>
          <w:rFonts w:asciiTheme="minorHAnsi" w:hAnsiTheme="minorHAnsi"/>
          <w:color w:val="auto"/>
          <w:u w:val="none"/>
        </w:rPr>
        <w:t>lans</w:t>
      </w:r>
      <w:r w:rsidR="004A0C4C">
        <w:rPr>
          <w:rStyle w:val="WP9Hyperlink"/>
          <w:rFonts w:asciiTheme="minorHAnsi" w:hAnsiTheme="minorHAnsi"/>
          <w:color w:val="auto"/>
          <w:u w:val="none"/>
        </w:rPr>
        <w:t xml:space="preserve"> (SIPs)</w:t>
      </w:r>
      <w:r w:rsidRPr="00CC6F12">
        <w:rPr>
          <w:rStyle w:val="WP9Hyperlink"/>
          <w:rFonts w:asciiTheme="minorHAnsi" w:hAnsiTheme="minorHAnsi"/>
          <w:color w:val="auto"/>
          <w:u w:val="none"/>
        </w:rPr>
        <w:t xml:space="preserve"> to reduce regional haze emissions that impair visibility at 16 Class I areas on the Colorado Plateau.</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 xml:space="preserve">Five states </w:t>
      </w:r>
      <w:r w:rsidR="004B7D35">
        <w:rPr>
          <w:rStyle w:val="WP9Hyperlink"/>
          <w:rFonts w:asciiTheme="minorHAnsi" w:hAnsiTheme="minorHAnsi"/>
          <w:color w:val="auto"/>
          <w:u w:val="none"/>
        </w:rPr>
        <w:t>—</w:t>
      </w:r>
      <w:r w:rsidRPr="00CC6F12">
        <w:rPr>
          <w:rStyle w:val="WP9Hyperlink"/>
          <w:rFonts w:asciiTheme="minorHAnsi" w:hAnsiTheme="minorHAnsi"/>
          <w:color w:val="auto"/>
          <w:u w:val="none"/>
        </w:rPr>
        <w:t xml:space="preserve"> Arizona, New Mexico, Oregon, Utah, and Wyoming </w:t>
      </w:r>
      <w:r w:rsidR="004B7D35">
        <w:rPr>
          <w:rStyle w:val="WP9Hyperlink"/>
          <w:rFonts w:asciiTheme="minorHAnsi" w:hAnsiTheme="minorHAnsi"/>
          <w:color w:val="auto"/>
          <w:u w:val="none"/>
        </w:rPr>
        <w:t>—</w:t>
      </w:r>
      <w:r w:rsidRPr="00CC6F12">
        <w:rPr>
          <w:rStyle w:val="WP9Hyperlink"/>
          <w:rFonts w:asciiTheme="minorHAnsi" w:hAnsiTheme="minorHAnsi"/>
          <w:color w:val="auto"/>
          <w:u w:val="none"/>
        </w:rPr>
        <w:t xml:space="preserve"> and </w:t>
      </w:r>
      <w:r w:rsidR="00D15790" w:rsidRPr="00CC6F12">
        <w:rPr>
          <w:rStyle w:val="WP9Hyperlink"/>
          <w:rFonts w:asciiTheme="minorHAnsi" w:hAnsiTheme="minorHAnsi"/>
          <w:color w:val="auto"/>
          <w:u w:val="none"/>
        </w:rPr>
        <w:t>Albuquerque-Bernalillo County</w:t>
      </w:r>
      <w:r w:rsidRPr="00CC6F12">
        <w:rPr>
          <w:rStyle w:val="WP9Hyperlink"/>
          <w:rFonts w:asciiTheme="minorHAnsi" w:hAnsiTheme="minorHAnsi"/>
          <w:color w:val="auto"/>
          <w:u w:val="none"/>
        </w:rPr>
        <w:t xml:space="preserve"> exercised this option by submitting </w:t>
      </w:r>
      <w:r w:rsidR="004A0C4C">
        <w:rPr>
          <w:rStyle w:val="WP9Hyperlink"/>
          <w:rFonts w:asciiTheme="minorHAnsi" w:hAnsiTheme="minorHAnsi"/>
          <w:color w:val="auto"/>
          <w:u w:val="none"/>
        </w:rPr>
        <w:t xml:space="preserve">SIPs </w:t>
      </w:r>
      <w:r w:rsidRPr="00CC6F12">
        <w:rPr>
          <w:rStyle w:val="WP9Hyperlink"/>
          <w:rFonts w:asciiTheme="minorHAnsi" w:hAnsiTheme="minorHAnsi"/>
          <w:color w:val="auto"/>
          <w:u w:val="none"/>
        </w:rPr>
        <w:t>to</w:t>
      </w:r>
      <w:r w:rsidR="004A0C4C">
        <w:rPr>
          <w:rStyle w:val="WP9Hyperlink"/>
          <w:rFonts w:asciiTheme="minorHAnsi" w:hAnsiTheme="minorHAnsi"/>
          <w:color w:val="auto"/>
          <w:u w:val="none"/>
        </w:rPr>
        <w:t xml:space="preserve"> the</w:t>
      </w:r>
      <w:r w:rsidRPr="00CC6F12">
        <w:rPr>
          <w:rStyle w:val="WP9Hyperlink"/>
          <w:rFonts w:asciiTheme="minorHAnsi" w:hAnsiTheme="minorHAnsi"/>
          <w:color w:val="auto"/>
          <w:u w:val="none"/>
        </w:rPr>
        <w:t xml:space="preserve"> EPA by December 1, 2003.</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In October 2006, when EPA modified Section 309, Oregon elected to cease participation in the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Milestone and Backstop Trading Program by not resubmitting</w:t>
      </w:r>
      <w:r w:rsidR="00F50919">
        <w:rPr>
          <w:rStyle w:val="WP9Hyperlink"/>
          <w:rFonts w:asciiTheme="minorHAnsi" w:hAnsiTheme="minorHAnsi"/>
          <w:color w:val="auto"/>
          <w:u w:val="none"/>
        </w:rPr>
        <w:t xml:space="preserve"> a</w:t>
      </w:r>
      <w:r w:rsidRPr="00CC6F12">
        <w:rPr>
          <w:rStyle w:val="WP9Hyperlink"/>
          <w:rFonts w:asciiTheme="minorHAnsi" w:hAnsiTheme="minorHAnsi"/>
          <w:color w:val="auto"/>
          <w:u w:val="none"/>
        </w:rPr>
        <w:t xml:space="preserve"> </w:t>
      </w:r>
      <w:r w:rsidR="00CC2AAA">
        <w:rPr>
          <w:rStyle w:val="WP9Hyperlink"/>
          <w:rFonts w:asciiTheme="minorHAnsi" w:hAnsiTheme="minorHAnsi"/>
          <w:color w:val="auto"/>
          <w:u w:val="none"/>
        </w:rPr>
        <w:t>SIP under</w:t>
      </w:r>
      <w:r w:rsidRPr="00CC6F12">
        <w:rPr>
          <w:rStyle w:val="WP9Hyperlink"/>
          <w:rFonts w:asciiTheme="minorHAnsi" w:hAnsiTheme="minorHAnsi"/>
          <w:color w:val="auto"/>
          <w:u w:val="none"/>
        </w:rPr>
        <w:t xml:space="preserve"> 309.</w:t>
      </w:r>
      <w:r w:rsidR="00BB5AF4" w:rsidRPr="00CC6F12">
        <w:rPr>
          <w:rStyle w:val="WP9Hyperlink"/>
          <w:rFonts w:asciiTheme="minorHAnsi" w:hAnsiTheme="minorHAnsi"/>
          <w:color w:val="auto"/>
          <w:u w:val="none"/>
        </w:rPr>
        <w:t xml:space="preserve"> </w:t>
      </w:r>
      <w:r w:rsidR="00165759" w:rsidRPr="00CC6F12">
        <w:rPr>
          <w:rStyle w:val="WP9Hyperlink"/>
          <w:rFonts w:asciiTheme="minorHAnsi" w:hAnsiTheme="minorHAnsi"/>
          <w:color w:val="auto"/>
          <w:u w:val="none"/>
        </w:rPr>
        <w:t>In 2010, Arizona elected</w:t>
      </w:r>
      <w:r w:rsidR="004A0C4C">
        <w:rPr>
          <w:rStyle w:val="WP9Hyperlink"/>
          <w:rFonts w:asciiTheme="minorHAnsi" w:hAnsiTheme="minorHAnsi"/>
          <w:color w:val="auto"/>
          <w:u w:val="none"/>
        </w:rPr>
        <w:t xml:space="preserve"> to cease participation in the p</w:t>
      </w:r>
      <w:r w:rsidR="00165759" w:rsidRPr="00CC6F12">
        <w:rPr>
          <w:rStyle w:val="WP9Hyperlink"/>
          <w:rFonts w:asciiTheme="minorHAnsi" w:hAnsiTheme="minorHAnsi"/>
          <w:color w:val="auto"/>
          <w:u w:val="none"/>
        </w:rPr>
        <w:t>rogram.</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The tribes were not subject to this deadline and still can opt into the program at any time.</w:t>
      </w:r>
    </w:p>
    <w:p w14:paraId="075037EA" w14:textId="77777777" w:rsidR="005D2975" w:rsidRPr="00CC6F12" w:rsidRDefault="0099781D" w:rsidP="00CC6F12">
      <w:pPr>
        <w:spacing w:after="200"/>
        <w:ind w:firstLine="720"/>
        <w:rPr>
          <w:rFonts w:asciiTheme="minorHAnsi" w:hAnsiTheme="minorHAnsi"/>
        </w:rPr>
      </w:pPr>
      <w:r w:rsidRPr="00CC6F12">
        <w:rPr>
          <w:rFonts w:asciiTheme="minorHAnsi" w:hAnsiTheme="minorHAnsi"/>
        </w:rPr>
        <w:t xml:space="preserve">Under </w:t>
      </w:r>
      <w:proofErr w:type="gramStart"/>
      <w:r w:rsidRPr="00CC6F12">
        <w:rPr>
          <w:rFonts w:asciiTheme="minorHAnsi" w:hAnsiTheme="minorHAnsi"/>
        </w:rPr>
        <w:t>the Section</w:t>
      </w:r>
      <w:proofErr w:type="gramEnd"/>
      <w:r w:rsidRPr="00CC6F12">
        <w:rPr>
          <w:rFonts w:asciiTheme="minorHAnsi" w:hAnsiTheme="minorHAnsi"/>
        </w:rPr>
        <w:t xml:space="preserve"> 309 SIPs, these </w:t>
      </w:r>
      <w:r w:rsidR="00165759" w:rsidRPr="00CC6F12">
        <w:rPr>
          <w:rFonts w:asciiTheme="minorHAnsi" w:hAnsiTheme="minorHAnsi"/>
        </w:rPr>
        <w:t xml:space="preserve">three </w:t>
      </w:r>
      <w:r w:rsidRPr="00CC6F12">
        <w:rPr>
          <w:rFonts w:asciiTheme="minorHAnsi" w:hAnsiTheme="minorHAnsi"/>
        </w:rPr>
        <w:t>states</w:t>
      </w:r>
      <w:r w:rsidR="004A0CC1" w:rsidRPr="00CC6F12">
        <w:rPr>
          <w:rFonts w:asciiTheme="minorHAnsi" w:hAnsiTheme="minorHAnsi"/>
        </w:rPr>
        <w:t xml:space="preserve"> and one </w:t>
      </w:r>
      <w:r w:rsidR="005C6E4A">
        <w:rPr>
          <w:rFonts w:asciiTheme="minorHAnsi" w:hAnsiTheme="minorHAnsi"/>
        </w:rPr>
        <w:t>local air agency</w:t>
      </w:r>
      <w:r w:rsidRPr="00CC6F12">
        <w:rPr>
          <w:rFonts w:asciiTheme="minorHAnsi" w:hAnsiTheme="minorHAnsi"/>
        </w:rPr>
        <w:t xml:space="preserve"> have been tracking emissions under the pre-trigger requirements of the SO</w:t>
      </w:r>
      <w:r w:rsidRPr="00CC6F12">
        <w:rPr>
          <w:rFonts w:asciiTheme="minorHAnsi" w:hAnsiTheme="minorHAnsi"/>
          <w:vertAlign w:val="subscript"/>
        </w:rPr>
        <w:t>2</w:t>
      </w:r>
      <w:r w:rsidRPr="00CC6F12">
        <w:rPr>
          <w:rFonts w:asciiTheme="minorHAnsi" w:hAnsiTheme="minorHAnsi"/>
        </w:rPr>
        <w:t xml:space="preserve"> Milestone and Backstop Trading Program since 2003.</w:t>
      </w:r>
      <w:r w:rsidR="00BB5AF4" w:rsidRPr="00CC6F12">
        <w:rPr>
          <w:rFonts w:asciiTheme="minorHAnsi" w:hAnsiTheme="minorHAnsi"/>
        </w:rPr>
        <w:t xml:space="preserve"> </w:t>
      </w:r>
      <w:r w:rsidRPr="00CC6F12">
        <w:rPr>
          <w:rFonts w:asciiTheme="minorHAnsi" w:hAnsiTheme="minorHAnsi"/>
        </w:rPr>
        <w:t>The Western Regional Air Partnership (WRAP) is assisting these states with the implementation and management of this regional emission reduction program.</w:t>
      </w:r>
    </w:p>
    <w:p w14:paraId="2B7DBCA3" w14:textId="77777777" w:rsidR="0099781D" w:rsidRPr="00CC6F12" w:rsidRDefault="0099781D" w:rsidP="00CC6F12">
      <w:pPr>
        <w:spacing w:after="200"/>
        <w:ind w:firstLine="720"/>
        <w:rPr>
          <w:rFonts w:asciiTheme="minorHAnsi" w:hAnsiTheme="minorHAnsi"/>
        </w:rPr>
      </w:pPr>
      <w:r w:rsidRPr="00907252">
        <w:rPr>
          <w:rFonts w:asciiTheme="minorHAnsi" w:hAnsiTheme="minorHAnsi"/>
        </w:rPr>
        <w:t>Under the milestone</w:t>
      </w:r>
      <w:r w:rsidRPr="00CC6F12">
        <w:rPr>
          <w:rFonts w:asciiTheme="minorHAnsi" w:hAnsiTheme="minorHAnsi"/>
        </w:rPr>
        <w:t xml:space="preserve"> phase of the program, </w:t>
      </w:r>
      <w:r w:rsidR="004A0CC1" w:rsidRPr="00CC6F12">
        <w:rPr>
          <w:rFonts w:asciiTheme="minorHAnsi" w:hAnsiTheme="minorHAnsi"/>
        </w:rPr>
        <w:t>Section 309</w:t>
      </w:r>
      <w:r w:rsidRPr="00CC6F12">
        <w:rPr>
          <w:rFonts w:asciiTheme="minorHAnsi" w:hAnsiTheme="minorHAnsi"/>
        </w:rPr>
        <w:t xml:space="preserve"> states have established annual SO</w:t>
      </w:r>
      <w:r w:rsidRPr="00CC6F12">
        <w:rPr>
          <w:rFonts w:asciiTheme="minorHAnsi" w:hAnsiTheme="minorHAnsi"/>
          <w:vertAlign w:val="subscript"/>
        </w:rPr>
        <w:t xml:space="preserve">2 </w:t>
      </w:r>
      <w:r w:rsidRPr="00CC6F12">
        <w:rPr>
          <w:rFonts w:asciiTheme="minorHAnsi" w:hAnsiTheme="minorHAnsi"/>
        </w:rPr>
        <w:t>emissions targets (from 2003 to 2018).</w:t>
      </w:r>
      <w:r w:rsidR="00BB5AF4" w:rsidRPr="00CC6F12">
        <w:rPr>
          <w:rFonts w:asciiTheme="minorHAnsi" w:hAnsiTheme="minorHAnsi"/>
        </w:rPr>
        <w:t xml:space="preserve"> </w:t>
      </w:r>
      <w:r w:rsidRPr="00CC6F12">
        <w:rPr>
          <w:rFonts w:asciiTheme="minorHAnsi" w:hAnsiTheme="minorHAnsi"/>
        </w:rPr>
        <w:t xml:space="preserve">These voluntary </w:t>
      </w:r>
      <w:proofErr w:type="gramStart"/>
      <w:r w:rsidRPr="00CC6F12">
        <w:rPr>
          <w:rFonts w:asciiTheme="minorHAnsi" w:hAnsiTheme="minorHAnsi"/>
        </w:rPr>
        <w:t>emissions reduction</w:t>
      </w:r>
      <w:proofErr w:type="gramEnd"/>
      <w:r w:rsidRPr="00CC6F12">
        <w:rPr>
          <w:rFonts w:asciiTheme="minorHAnsi" w:hAnsiTheme="minorHAnsi"/>
        </w:rPr>
        <w:t xml:space="preserve"> targets represent reasonable progress in reducing emissions that contribute to regional haze.</w:t>
      </w:r>
      <w:r w:rsidR="00BB5AF4" w:rsidRPr="00CC6F12">
        <w:rPr>
          <w:rFonts w:asciiTheme="minorHAnsi" w:hAnsiTheme="minorHAnsi"/>
        </w:rPr>
        <w:t xml:space="preserve"> </w:t>
      </w:r>
      <w:r w:rsidRPr="00CC6F12">
        <w:rPr>
          <w:rFonts w:asciiTheme="minorHAnsi" w:hAnsiTheme="minorHAnsi"/>
        </w:rPr>
        <w:t xml:space="preserve">If the participating sources fail to meet the milestones through this voluntary program, then the states will trigger the backstop trading program and implement a regulatory emissions cap for the states, allocate emissions allowances (or credits) to the affected sources based on the emissions cap, and require the sources to hold sufficient allowances to cover their emissions each year. </w:t>
      </w:r>
    </w:p>
    <w:p w14:paraId="11BA8EA3" w14:textId="7DA1EE00" w:rsidR="0099781D" w:rsidRPr="00CC6F12" w:rsidRDefault="007B55A8" w:rsidP="5A056A28">
      <w:pPr>
        <w:spacing w:after="200"/>
        <w:rPr>
          <w:rFonts w:asciiTheme="minorHAnsi" w:hAnsiTheme="minorHAnsi"/>
          <w:color w:val="000000"/>
        </w:rPr>
      </w:pPr>
      <w:r w:rsidRPr="00CC6F12">
        <w:rPr>
          <w:rFonts w:asciiTheme="minorHAnsi" w:hAnsiTheme="minorHAnsi"/>
          <w:color w:val="000000"/>
        </w:rPr>
        <w:tab/>
      </w:r>
      <w:r w:rsidRPr="5A056A28">
        <w:rPr>
          <w:rFonts w:asciiTheme="minorHAnsi" w:hAnsiTheme="minorHAnsi"/>
          <w:color w:val="000000"/>
        </w:rPr>
        <w:t xml:space="preserve">This report is the </w:t>
      </w:r>
      <w:r w:rsidR="00DE563A" w:rsidRPr="5A056A28">
        <w:rPr>
          <w:rFonts w:asciiTheme="minorHAnsi" w:hAnsiTheme="minorHAnsi"/>
          <w:color w:val="000000"/>
        </w:rPr>
        <w:t>twent</w:t>
      </w:r>
      <w:r w:rsidR="00327439" w:rsidRPr="5A056A28">
        <w:rPr>
          <w:rFonts w:asciiTheme="minorHAnsi" w:hAnsiTheme="minorHAnsi"/>
          <w:color w:val="000000"/>
        </w:rPr>
        <w:t>y-first</w:t>
      </w:r>
      <w:r w:rsidRPr="5A056A28">
        <w:rPr>
          <w:rFonts w:asciiTheme="minorHAnsi" w:hAnsiTheme="minorHAnsi"/>
          <w:color w:val="000000"/>
        </w:rPr>
        <w:t xml:space="preserve"> </w:t>
      </w:r>
      <w:r w:rsidR="0099781D" w:rsidRPr="5A056A28">
        <w:rPr>
          <w:rFonts w:asciiTheme="minorHAnsi" w:hAnsiTheme="minorHAnsi"/>
          <w:color w:val="000000"/>
        </w:rPr>
        <w:t>annual report for the milestone phase of this program.</w:t>
      </w:r>
      <w:r w:rsidR="00BB5AF4" w:rsidRPr="5A056A28">
        <w:rPr>
          <w:rFonts w:asciiTheme="minorHAnsi" w:hAnsiTheme="minorHAnsi"/>
          <w:color w:val="000000"/>
        </w:rPr>
        <w:t xml:space="preserve"> </w:t>
      </w:r>
      <w:r w:rsidR="0099781D" w:rsidRPr="5A056A28">
        <w:rPr>
          <w:rFonts w:asciiTheme="minorHAnsi" w:hAnsiTheme="minorHAnsi"/>
          <w:color w:val="000000"/>
        </w:rPr>
        <w:t xml:space="preserve">The report provides background on regional haze and the Section 309 program, the milestones established under the program, and the emissions reported for </w:t>
      </w:r>
      <w:r w:rsidR="00B76BF4" w:rsidRPr="5A056A28">
        <w:rPr>
          <w:rFonts w:asciiTheme="minorHAnsi" w:hAnsiTheme="minorHAnsi"/>
          <w:color w:val="000000"/>
        </w:rPr>
        <w:t>202</w:t>
      </w:r>
      <w:r w:rsidR="000E4D60">
        <w:rPr>
          <w:rFonts w:asciiTheme="minorHAnsi" w:hAnsiTheme="minorHAnsi"/>
          <w:color w:val="000000"/>
        </w:rPr>
        <w:t>3</w:t>
      </w:r>
      <w:r w:rsidR="0099781D" w:rsidRPr="5A056A28">
        <w:rPr>
          <w:rFonts w:asciiTheme="minorHAnsi" w:hAnsiTheme="minorHAnsi"/>
          <w:color w:val="000000"/>
        </w:rPr>
        <w:t>.</w:t>
      </w:r>
      <w:r w:rsidR="00BB5AF4" w:rsidRPr="5A056A28">
        <w:rPr>
          <w:rFonts w:asciiTheme="minorHAnsi" w:hAnsiTheme="minorHAnsi"/>
          <w:color w:val="000000"/>
        </w:rPr>
        <w:t xml:space="preserve"> </w:t>
      </w:r>
      <w:r w:rsidR="0099781D" w:rsidRPr="5A056A28">
        <w:rPr>
          <w:rFonts w:asciiTheme="minorHAnsi" w:hAnsiTheme="minorHAnsi"/>
          <w:color w:val="000000"/>
        </w:rPr>
        <w:t xml:space="preserve">Based on the </w:t>
      </w:r>
      <w:r w:rsidR="00D64970" w:rsidRPr="5A056A28">
        <w:rPr>
          <w:rFonts w:asciiTheme="minorHAnsi" w:hAnsiTheme="minorHAnsi"/>
          <w:color w:val="000000"/>
        </w:rPr>
        <w:t>last</w:t>
      </w:r>
      <w:r w:rsidR="0099781D" w:rsidRPr="5A056A28">
        <w:rPr>
          <w:rFonts w:asciiTheme="minorHAnsi" w:hAnsiTheme="minorHAnsi"/>
          <w:color w:val="000000"/>
        </w:rPr>
        <w:t xml:space="preserve"> </w:t>
      </w:r>
      <w:r w:rsidR="00D85BF7" w:rsidRPr="5A056A28">
        <w:rPr>
          <w:rFonts w:asciiTheme="minorHAnsi" w:hAnsiTheme="minorHAnsi"/>
          <w:color w:val="000000"/>
        </w:rPr>
        <w:t>twenty</w:t>
      </w:r>
      <w:r w:rsidR="00907252" w:rsidRPr="5A056A28">
        <w:rPr>
          <w:rFonts w:asciiTheme="minorHAnsi" w:hAnsiTheme="minorHAnsi"/>
          <w:color w:val="000000"/>
        </w:rPr>
        <w:t xml:space="preserve"> </w:t>
      </w:r>
      <w:r w:rsidR="0099781D" w:rsidRPr="5A056A28">
        <w:rPr>
          <w:rFonts w:asciiTheme="minorHAnsi" w:hAnsiTheme="minorHAnsi"/>
          <w:color w:val="000000"/>
        </w:rPr>
        <w:t>years</w:t>
      </w:r>
      <w:r w:rsidR="00D64970" w:rsidRPr="5A056A28">
        <w:rPr>
          <w:rFonts w:asciiTheme="minorHAnsi" w:hAnsiTheme="minorHAnsi"/>
          <w:color w:val="000000"/>
        </w:rPr>
        <w:t xml:space="preserve"> of data</w:t>
      </w:r>
      <w:r w:rsidR="0099781D" w:rsidRPr="5A056A28">
        <w:rPr>
          <w:rFonts w:asciiTheme="minorHAnsi" w:hAnsiTheme="minorHAnsi"/>
          <w:color w:val="000000"/>
        </w:rPr>
        <w:t xml:space="preserve">, the voluntary milestone phase of the program is </w:t>
      </w:r>
      <w:r w:rsidR="0098401E" w:rsidRPr="5A056A28">
        <w:rPr>
          <w:rFonts w:asciiTheme="minorHAnsi" w:hAnsiTheme="minorHAnsi"/>
          <w:color w:val="000000"/>
        </w:rPr>
        <w:t>meeting its reasonable progress targets</w:t>
      </w:r>
      <w:r w:rsidR="00ED00DA" w:rsidRPr="5A056A28">
        <w:rPr>
          <w:rFonts w:asciiTheme="minorHAnsi" w:hAnsiTheme="minorHAnsi"/>
          <w:color w:val="000000"/>
        </w:rPr>
        <w:t>,</w:t>
      </w:r>
      <w:r w:rsidR="0099781D" w:rsidRPr="5A056A28">
        <w:rPr>
          <w:rFonts w:asciiTheme="minorHAnsi" w:hAnsiTheme="minorHAnsi"/>
          <w:color w:val="000000"/>
        </w:rPr>
        <w:t xml:space="preserve"> and emissions are well below the target levels.</w:t>
      </w:r>
    </w:p>
    <w:p w14:paraId="3CFEB963" w14:textId="77777777" w:rsidR="0099781D" w:rsidRPr="00CC6F12" w:rsidRDefault="0099781D" w:rsidP="0049258A">
      <w:pPr>
        <w:pStyle w:val="Heading5"/>
      </w:pPr>
      <w:r w:rsidRPr="00CC6F12">
        <w:t>What is Regional Haze?</w:t>
      </w:r>
    </w:p>
    <w:p w14:paraId="131AF152" w14:textId="77777777" w:rsidR="0099781D" w:rsidRPr="00CC6F12" w:rsidRDefault="0099781D" w:rsidP="00CC6F12">
      <w:pPr>
        <w:spacing w:after="200"/>
        <w:ind w:firstLine="720"/>
        <w:rPr>
          <w:rFonts w:asciiTheme="minorHAnsi" w:hAnsiTheme="minorHAnsi"/>
        </w:rPr>
      </w:pPr>
      <w:r w:rsidRPr="00CC6F12">
        <w:rPr>
          <w:rFonts w:asciiTheme="minorHAnsi" w:hAnsiTheme="minorHAnsi"/>
        </w:rPr>
        <w:t>Regional haze is air pollution that is transported long distances and reduces visibility in national parks and wilderness areas across the country.</w:t>
      </w:r>
      <w:r w:rsidR="00BB5AF4" w:rsidRPr="00CC6F12">
        <w:rPr>
          <w:rFonts w:asciiTheme="minorHAnsi" w:hAnsiTheme="minorHAnsi"/>
        </w:rPr>
        <w:t xml:space="preserve"> </w:t>
      </w:r>
      <w:r w:rsidRPr="00CC6F12">
        <w:rPr>
          <w:rFonts w:asciiTheme="minorHAnsi" w:hAnsiTheme="minorHAnsi"/>
        </w:rPr>
        <w:t>Over the years, this haze has reduced the visual range from 145 kilometers (90 miles) to 24 – 50 kilometers (15 – 31 miles) in the East, and from 225 kilometers (140 miles) to 56 – 145 kilometers (35 – 90 miles) in the West.</w:t>
      </w:r>
      <w:r w:rsidR="00BB5AF4" w:rsidRPr="00CC6F12">
        <w:rPr>
          <w:rFonts w:asciiTheme="minorHAnsi" w:hAnsiTheme="minorHAnsi"/>
        </w:rPr>
        <w:t xml:space="preserve"> </w:t>
      </w:r>
      <w:r w:rsidRPr="00CC6F12">
        <w:rPr>
          <w:rFonts w:asciiTheme="minorHAnsi" w:hAnsiTheme="minorHAnsi"/>
        </w:rPr>
        <w:t>The pollutants that create this haze are sulfates, nitrates, organic carbon, elemental carbon, and soil dust.</w:t>
      </w:r>
      <w:r w:rsidR="00BB5AF4" w:rsidRPr="00CC6F12">
        <w:rPr>
          <w:rFonts w:asciiTheme="minorHAnsi" w:hAnsiTheme="minorHAnsi"/>
        </w:rPr>
        <w:t xml:space="preserve"> </w:t>
      </w:r>
      <w:r w:rsidRPr="00CC6F12">
        <w:rPr>
          <w:rFonts w:asciiTheme="minorHAnsi" w:hAnsiTheme="minorHAnsi"/>
        </w:rPr>
        <w:t xml:space="preserve">Human-caused haze sources include industry, motor vehicles, agricultural and forestry </w:t>
      </w:r>
      <w:proofErr w:type="gramStart"/>
      <w:r w:rsidRPr="00CC6F12">
        <w:rPr>
          <w:rFonts w:asciiTheme="minorHAnsi" w:hAnsiTheme="minorHAnsi"/>
        </w:rPr>
        <w:t>burning, and</w:t>
      </w:r>
      <w:proofErr w:type="gramEnd"/>
      <w:r w:rsidRPr="00CC6F12">
        <w:rPr>
          <w:rFonts w:asciiTheme="minorHAnsi" w:hAnsiTheme="minorHAnsi"/>
        </w:rPr>
        <w:t xml:space="preserve"> windblown dust from roads and farming practices.</w:t>
      </w:r>
      <w:r w:rsidR="00BB5AF4" w:rsidRPr="00CC6F12">
        <w:rPr>
          <w:rFonts w:asciiTheme="minorHAnsi" w:hAnsiTheme="minorHAnsi"/>
        </w:rPr>
        <w:t xml:space="preserve"> </w:t>
      </w:r>
    </w:p>
    <w:p w14:paraId="0BA88EEA" w14:textId="77777777" w:rsidR="0099781D" w:rsidRPr="00CC6F12" w:rsidRDefault="0099781D" w:rsidP="00CC6F12">
      <w:pPr>
        <w:pStyle w:val="Heading5"/>
        <w:rPr>
          <w:rFonts w:asciiTheme="minorHAnsi" w:hAnsiTheme="minorHAnsi"/>
          <w:szCs w:val="22"/>
        </w:rPr>
      </w:pPr>
      <w:r w:rsidRPr="00CC6F12">
        <w:rPr>
          <w:rFonts w:asciiTheme="minorHAnsi" w:hAnsiTheme="minorHAnsi"/>
          <w:szCs w:val="22"/>
        </w:rPr>
        <w:t>What U.S. EPA Requirements Apply?</w:t>
      </w:r>
    </w:p>
    <w:p w14:paraId="5C7F5C5B" w14:textId="301F38B8" w:rsidR="0099781D" w:rsidRPr="00CC6F12" w:rsidRDefault="0099781D" w:rsidP="00CC6F12">
      <w:pPr>
        <w:keepNext/>
        <w:autoSpaceDE w:val="0"/>
        <w:autoSpaceDN w:val="0"/>
        <w:adjustRightInd w:val="0"/>
        <w:spacing w:after="200"/>
        <w:ind w:firstLine="720"/>
        <w:rPr>
          <w:rFonts w:asciiTheme="minorHAnsi" w:hAnsiTheme="minorHAnsi"/>
        </w:rPr>
      </w:pPr>
      <w:r w:rsidRPr="00CC6F12">
        <w:rPr>
          <w:rFonts w:asciiTheme="minorHAnsi" w:hAnsiTheme="minorHAnsi"/>
        </w:rPr>
        <w:t>In 1999, the EPA issued regulations to address regional haze in 156 national parks and wilderness areas across the country.</w:t>
      </w:r>
      <w:r w:rsidR="00BB5AF4" w:rsidRPr="00CC6F12">
        <w:rPr>
          <w:rFonts w:asciiTheme="minorHAnsi" w:hAnsiTheme="minorHAnsi"/>
        </w:rPr>
        <w:t xml:space="preserve"> </w:t>
      </w:r>
      <w:r w:rsidR="00CC6F12">
        <w:rPr>
          <w:rFonts w:asciiTheme="minorHAnsi" w:hAnsiTheme="minorHAnsi"/>
        </w:rPr>
        <w:t>EPA</w:t>
      </w:r>
      <w:r w:rsidRPr="00CC6F12">
        <w:rPr>
          <w:rFonts w:asciiTheme="minorHAnsi" w:hAnsiTheme="minorHAnsi"/>
        </w:rPr>
        <w:t xml:space="preserve"> published </w:t>
      </w:r>
      <w:r w:rsidR="00CC6F12">
        <w:rPr>
          <w:rFonts w:asciiTheme="minorHAnsi" w:hAnsiTheme="minorHAnsi"/>
        </w:rPr>
        <w:t xml:space="preserve">these regulations </w:t>
      </w:r>
      <w:r w:rsidRPr="00CC6F12">
        <w:rPr>
          <w:rFonts w:asciiTheme="minorHAnsi" w:hAnsiTheme="minorHAnsi"/>
        </w:rPr>
        <w:t>in the Federal Register on July 1, 1999 (64 FR 35714).</w:t>
      </w:r>
      <w:r w:rsidR="00BB5AF4" w:rsidRPr="00CC6F12">
        <w:rPr>
          <w:rFonts w:asciiTheme="minorHAnsi" w:hAnsiTheme="minorHAnsi"/>
        </w:rPr>
        <w:t xml:space="preserve"> </w:t>
      </w:r>
      <w:r w:rsidRPr="00CC6F12">
        <w:rPr>
          <w:rFonts w:asciiTheme="minorHAnsi" w:hAnsiTheme="minorHAnsi"/>
        </w:rPr>
        <w:t xml:space="preserve">The goal of the Regional Haze Rule (RHR) is to </w:t>
      </w:r>
      <w:r w:rsidR="00DE563A" w:rsidRPr="00DE563A">
        <w:rPr>
          <w:rFonts w:asciiTheme="minorHAnsi" w:hAnsiTheme="minorHAnsi"/>
        </w:rPr>
        <w:t xml:space="preserve">prevent any future, and remedy any existing, visibility impairment from anthropogenic air pollution in certain </w:t>
      </w:r>
      <w:r w:rsidR="00DE563A" w:rsidRPr="00CC6F12">
        <w:rPr>
          <w:rFonts w:asciiTheme="minorHAnsi" w:hAnsiTheme="minorHAnsi"/>
        </w:rPr>
        <w:t xml:space="preserve">national parks and wilderness </w:t>
      </w:r>
      <w:r w:rsidR="00DE563A" w:rsidRPr="00CC6F12">
        <w:rPr>
          <w:rFonts w:asciiTheme="minorHAnsi" w:hAnsiTheme="minorHAnsi"/>
        </w:rPr>
        <w:lastRenderedPageBreak/>
        <w:t>areas</w:t>
      </w:r>
      <w:r w:rsidRPr="00CC6F12">
        <w:rPr>
          <w:rFonts w:asciiTheme="minorHAnsi" w:hAnsiTheme="minorHAnsi"/>
        </w:rPr>
        <w:t>.</w:t>
      </w:r>
      <w:r w:rsidR="00BB5AF4" w:rsidRPr="00CC6F12">
        <w:rPr>
          <w:rFonts w:asciiTheme="minorHAnsi" w:hAnsiTheme="minorHAnsi"/>
        </w:rPr>
        <w:t xml:space="preserve"> </w:t>
      </w:r>
      <w:r w:rsidRPr="00CC6F12">
        <w:rPr>
          <w:rFonts w:asciiTheme="minorHAnsi" w:hAnsiTheme="minorHAnsi"/>
        </w:rPr>
        <w:t>It contains strategies to im</w:t>
      </w:r>
      <w:r w:rsidR="006B51EA">
        <w:rPr>
          <w:rFonts w:asciiTheme="minorHAnsi" w:hAnsiTheme="minorHAnsi"/>
        </w:rPr>
        <w:t xml:space="preserve">prove visibility over the next six </w:t>
      </w:r>
      <w:r w:rsidR="00162661">
        <w:rPr>
          <w:rFonts w:asciiTheme="minorHAnsi" w:hAnsiTheme="minorHAnsi"/>
        </w:rPr>
        <w:t>decades</w:t>
      </w:r>
      <w:r w:rsidR="00162661" w:rsidRPr="00CC6F12">
        <w:rPr>
          <w:rFonts w:asciiTheme="minorHAnsi" w:hAnsiTheme="minorHAnsi"/>
        </w:rPr>
        <w:t xml:space="preserve"> and</w:t>
      </w:r>
      <w:r w:rsidRPr="00CC6F12">
        <w:rPr>
          <w:rFonts w:asciiTheme="minorHAnsi" w:hAnsiTheme="minorHAnsi"/>
        </w:rPr>
        <w:t xml:space="preserve"> requires states to adopt implementation plans.</w:t>
      </w:r>
    </w:p>
    <w:p w14:paraId="1D06F57D" w14:textId="4745E592" w:rsidR="0099781D" w:rsidRPr="00CC6F12" w:rsidRDefault="004B7D35" w:rsidP="00CC6F12">
      <w:pPr>
        <w:spacing w:after="200"/>
        <w:ind w:firstLine="720"/>
        <w:rPr>
          <w:rFonts w:asciiTheme="minorHAnsi" w:hAnsiTheme="minorHAnsi"/>
        </w:rPr>
      </w:pPr>
      <w:r>
        <w:rPr>
          <w:rFonts w:asciiTheme="minorHAnsi" w:hAnsiTheme="minorHAnsi"/>
        </w:rPr>
        <w:t xml:space="preserve">The </w:t>
      </w:r>
      <w:r w:rsidR="0099781D" w:rsidRPr="00CC6F12">
        <w:rPr>
          <w:rFonts w:asciiTheme="minorHAnsi" w:hAnsiTheme="minorHAnsi"/>
        </w:rPr>
        <w:t>EPA's RHR provides two paths to address regional haze.</w:t>
      </w:r>
      <w:r w:rsidR="00BB5AF4" w:rsidRPr="00CC6F12">
        <w:rPr>
          <w:rFonts w:asciiTheme="minorHAnsi" w:hAnsiTheme="minorHAnsi"/>
        </w:rPr>
        <w:t xml:space="preserve"> </w:t>
      </w:r>
      <w:r w:rsidR="0099781D" w:rsidRPr="00CC6F12">
        <w:rPr>
          <w:rFonts w:asciiTheme="minorHAnsi" w:hAnsiTheme="minorHAnsi"/>
        </w:rPr>
        <w:t>One is 40 CFR 51.308 (Section 308</w:t>
      </w:r>
      <w:r w:rsidR="00162661" w:rsidRPr="00CC6F12">
        <w:rPr>
          <w:rFonts w:asciiTheme="minorHAnsi" w:hAnsiTheme="minorHAnsi"/>
        </w:rPr>
        <w:t>) and</w:t>
      </w:r>
      <w:r w:rsidR="0099781D" w:rsidRPr="00CC6F12">
        <w:rPr>
          <w:rFonts w:asciiTheme="minorHAnsi" w:hAnsiTheme="minorHAnsi"/>
        </w:rPr>
        <w:t xml:space="preserve"> requires most states to develop long-term strategies out to the year 2064.</w:t>
      </w:r>
      <w:r w:rsidR="00BB5AF4" w:rsidRPr="00CC6F12">
        <w:rPr>
          <w:rFonts w:asciiTheme="minorHAnsi" w:hAnsiTheme="minorHAnsi"/>
        </w:rPr>
        <w:t xml:space="preserve"> </w:t>
      </w:r>
      <w:r w:rsidR="00182E08">
        <w:rPr>
          <w:rFonts w:asciiTheme="minorHAnsi" w:hAnsiTheme="minorHAnsi"/>
        </w:rPr>
        <w:t>States must show that t</w:t>
      </w:r>
      <w:r w:rsidR="0099781D" w:rsidRPr="00CC6F12">
        <w:rPr>
          <w:rFonts w:asciiTheme="minorHAnsi" w:hAnsiTheme="minorHAnsi"/>
        </w:rPr>
        <w:t>hese strategies make "reasonable progress" in improving visibility in Class I areas inside the state and in neighboring jurisdictions.</w:t>
      </w:r>
      <w:r w:rsidR="00BB5AF4" w:rsidRPr="00CC6F12">
        <w:rPr>
          <w:rFonts w:asciiTheme="minorHAnsi" w:hAnsiTheme="minorHAnsi"/>
        </w:rPr>
        <w:t xml:space="preserve"> </w:t>
      </w:r>
      <w:r w:rsidR="0099781D" w:rsidRPr="00CC6F12">
        <w:rPr>
          <w:rFonts w:asciiTheme="minorHAnsi" w:hAnsiTheme="minorHAnsi"/>
        </w:rPr>
        <w:t xml:space="preserve">The other is 40 CFR 51.309 (Section 309), and is an option for nine states </w:t>
      </w:r>
      <w:r>
        <w:rPr>
          <w:rFonts w:asciiTheme="minorHAnsi" w:hAnsiTheme="minorHAnsi"/>
        </w:rPr>
        <w:t>—</w:t>
      </w:r>
      <w:r w:rsidR="0099781D" w:rsidRPr="00CC6F12">
        <w:rPr>
          <w:rFonts w:asciiTheme="minorHAnsi" w:hAnsiTheme="minorHAnsi"/>
        </w:rPr>
        <w:t xml:space="preserve"> Arizona, California, Colorado, Idaho, Nevada, New Mexico, Oregon, Utah, and Wyoming </w:t>
      </w:r>
      <w:r>
        <w:rPr>
          <w:rFonts w:asciiTheme="minorHAnsi" w:hAnsiTheme="minorHAnsi"/>
        </w:rPr>
        <w:t>—</w:t>
      </w:r>
      <w:r w:rsidR="0099781D" w:rsidRPr="00CC6F12">
        <w:rPr>
          <w:rFonts w:asciiTheme="minorHAnsi" w:hAnsiTheme="minorHAnsi"/>
        </w:rPr>
        <w:t xml:space="preserve"> and the 211 tribes located within these states to adopt regional haze strategies for the period from 2003 to 2018.</w:t>
      </w:r>
      <w:r w:rsidR="00BB5AF4" w:rsidRPr="00CC6F12">
        <w:rPr>
          <w:rFonts w:asciiTheme="minorHAnsi" w:hAnsiTheme="minorHAnsi"/>
        </w:rPr>
        <w:t xml:space="preserve"> </w:t>
      </w:r>
      <w:r w:rsidR="0099781D" w:rsidRPr="00CC6F12">
        <w:rPr>
          <w:rFonts w:asciiTheme="minorHAnsi" w:hAnsiTheme="minorHAnsi"/>
        </w:rPr>
        <w:t>These strategies are based on recommendations from the Grand Canyon Visibility Transport Commission (GCVTC) for protecting the 16 Class I areas on the Colorado Plateau.</w:t>
      </w:r>
      <w:r w:rsidR="00BB5AF4" w:rsidRPr="00CC6F12">
        <w:rPr>
          <w:rFonts w:asciiTheme="minorHAnsi" w:hAnsiTheme="minorHAnsi"/>
        </w:rPr>
        <w:t xml:space="preserve"> </w:t>
      </w:r>
      <w:r w:rsidR="0099781D" w:rsidRPr="00CC6F12">
        <w:rPr>
          <w:rFonts w:asciiTheme="minorHAnsi" w:hAnsiTheme="minorHAnsi"/>
        </w:rPr>
        <w:t>Adopting these strategies constitutes reasonable progress until 2018.</w:t>
      </w:r>
      <w:r w:rsidR="00BB5AF4" w:rsidRPr="00CC6F12">
        <w:rPr>
          <w:rFonts w:asciiTheme="minorHAnsi" w:hAnsiTheme="minorHAnsi"/>
        </w:rPr>
        <w:t xml:space="preserve"> </w:t>
      </w:r>
      <w:r w:rsidR="0099781D" w:rsidRPr="00CC6F12">
        <w:rPr>
          <w:rFonts w:asciiTheme="minorHAnsi" w:hAnsiTheme="minorHAnsi"/>
        </w:rPr>
        <w:t>These nine western states and tribes</w:t>
      </w:r>
      <w:r w:rsidR="00182E08">
        <w:rPr>
          <w:rFonts w:asciiTheme="minorHAnsi" w:hAnsiTheme="minorHAnsi"/>
        </w:rPr>
        <w:t xml:space="preserve"> can also use the </w:t>
      </w:r>
      <w:r w:rsidR="00182E08" w:rsidRPr="00CC6F12">
        <w:rPr>
          <w:rFonts w:asciiTheme="minorHAnsi" w:hAnsiTheme="minorHAnsi"/>
        </w:rPr>
        <w:t>same strategies</w:t>
      </w:r>
      <w:r w:rsidR="0099781D" w:rsidRPr="00CC6F12">
        <w:rPr>
          <w:rFonts w:asciiTheme="minorHAnsi" w:hAnsiTheme="minorHAnsi"/>
        </w:rPr>
        <w:t xml:space="preserve"> to protect the other Class I areas within their own jurisdictions.</w:t>
      </w:r>
      <w:r w:rsidR="00BB5AF4" w:rsidRPr="00CC6F12">
        <w:rPr>
          <w:rFonts w:asciiTheme="minorHAnsi" w:hAnsiTheme="minorHAnsi"/>
        </w:rPr>
        <w:t xml:space="preserve"> </w:t>
      </w:r>
    </w:p>
    <w:p w14:paraId="2F047B80" w14:textId="58B5C383" w:rsidR="0099781D" w:rsidRPr="00CC6F12" w:rsidRDefault="0099781D" w:rsidP="00CC6F12">
      <w:pPr>
        <w:spacing w:after="200"/>
        <w:rPr>
          <w:rFonts w:asciiTheme="minorHAnsi" w:hAnsiTheme="minorHAnsi"/>
        </w:rPr>
      </w:pPr>
      <w:r w:rsidRPr="00CC6F12">
        <w:rPr>
          <w:rFonts w:asciiTheme="minorHAnsi" w:hAnsiTheme="minorHAnsi"/>
        </w:rPr>
        <w:tab/>
      </w:r>
      <w:r w:rsidR="004B7D35">
        <w:rPr>
          <w:rFonts w:asciiTheme="minorHAnsi" w:hAnsiTheme="minorHAnsi"/>
        </w:rPr>
        <w:t xml:space="preserve">The </w:t>
      </w:r>
      <w:r w:rsidRPr="00CC6F12">
        <w:rPr>
          <w:rFonts w:asciiTheme="minorHAnsi" w:hAnsiTheme="minorHAnsi"/>
        </w:rPr>
        <w:t>EPA revised the RHR on July 6, 2005 (70 FR 39104), and again on October 13, 2006 (71 FR 60612) in response to two legal challenges.</w:t>
      </w:r>
      <w:r w:rsidR="00BB5AF4" w:rsidRPr="00CC6F12">
        <w:rPr>
          <w:rFonts w:asciiTheme="minorHAnsi" w:hAnsiTheme="minorHAnsi"/>
        </w:rPr>
        <w:t xml:space="preserve"> </w:t>
      </w:r>
      <w:proofErr w:type="gramStart"/>
      <w:r w:rsidRPr="00CC6F12">
        <w:rPr>
          <w:rFonts w:asciiTheme="minorHAnsi" w:hAnsiTheme="minorHAnsi"/>
        </w:rPr>
        <w:t>The October</w:t>
      </w:r>
      <w:proofErr w:type="gramEnd"/>
      <w:r w:rsidRPr="00CC6F12">
        <w:rPr>
          <w:rFonts w:asciiTheme="minorHAnsi" w:hAnsiTheme="minorHAnsi"/>
        </w:rPr>
        <w:t xml:space="preserve"> 13, </w:t>
      </w:r>
      <w:proofErr w:type="gramStart"/>
      <w:r w:rsidR="00162661" w:rsidRPr="00CC6F12">
        <w:rPr>
          <w:rFonts w:asciiTheme="minorHAnsi" w:hAnsiTheme="minorHAnsi"/>
        </w:rPr>
        <w:t>2006</w:t>
      </w:r>
      <w:proofErr w:type="gramEnd"/>
      <w:r w:rsidRPr="00CC6F12">
        <w:rPr>
          <w:rFonts w:asciiTheme="minorHAnsi" w:hAnsiTheme="minorHAnsi"/>
        </w:rPr>
        <w:t xml:space="preserve"> revisions modified Section 309 to provide a methodology consistent with the Court's decision for evaluating the equivalence of alternatives to Best Available Retrofit Technology (BART), such as the alternative Section 309 strategy based on the GCVTC recommendations.</w:t>
      </w:r>
      <w:r w:rsidR="00BB5AF4" w:rsidRPr="00CC6F12">
        <w:rPr>
          <w:rFonts w:asciiTheme="minorHAnsi" w:hAnsiTheme="minorHAnsi"/>
        </w:rPr>
        <w:t xml:space="preserve"> </w:t>
      </w:r>
    </w:p>
    <w:p w14:paraId="5A02B517" w14:textId="77777777" w:rsidR="0099781D" w:rsidRPr="00CC6F12" w:rsidRDefault="0099781D" w:rsidP="00CC6F12">
      <w:pPr>
        <w:pStyle w:val="Heading5"/>
        <w:rPr>
          <w:rFonts w:asciiTheme="minorHAnsi" w:hAnsiTheme="minorHAnsi"/>
          <w:szCs w:val="22"/>
        </w:rPr>
      </w:pPr>
      <w:r w:rsidRPr="00CC6F12">
        <w:rPr>
          <w:rFonts w:asciiTheme="minorHAnsi" w:hAnsiTheme="minorHAnsi"/>
          <w:szCs w:val="22"/>
        </w:rPr>
        <w:t>How Have the WRAP States Responded to EPA Requirements?</w:t>
      </w:r>
    </w:p>
    <w:p w14:paraId="34EA1A28" w14:textId="77777777" w:rsidR="0099781D" w:rsidRPr="00CC6F12" w:rsidRDefault="0099781D" w:rsidP="00CC6F12">
      <w:pPr>
        <w:spacing w:after="200"/>
        <w:rPr>
          <w:rFonts w:asciiTheme="minorHAnsi" w:hAnsiTheme="minorHAnsi"/>
        </w:rPr>
      </w:pPr>
      <w:r w:rsidRPr="00CC6F12">
        <w:rPr>
          <w:rFonts w:asciiTheme="minorHAnsi" w:hAnsiTheme="minorHAnsi"/>
        </w:rPr>
        <w:tab/>
        <w:t>Of the nine states</w:t>
      </w:r>
      <w:r w:rsidR="004A0C4C">
        <w:rPr>
          <w:rFonts w:asciiTheme="minorHAnsi" w:hAnsiTheme="minorHAnsi"/>
        </w:rPr>
        <w:t>, and tribes within those states,</w:t>
      </w:r>
      <w:r w:rsidRPr="00CC6F12">
        <w:rPr>
          <w:rFonts w:asciiTheme="minorHAnsi" w:hAnsiTheme="minorHAnsi"/>
        </w:rPr>
        <w:t xml:space="preserve"> that have the option under Section 309 of participating in a regional strategy to reduce SO</w:t>
      </w:r>
      <w:r w:rsidRPr="00CC6F12">
        <w:rPr>
          <w:rFonts w:asciiTheme="minorHAnsi" w:hAnsiTheme="minorHAnsi"/>
          <w:vertAlign w:val="subscript"/>
        </w:rPr>
        <w:t>2</w:t>
      </w:r>
      <w:r w:rsidRPr="00CC6F12">
        <w:rPr>
          <w:rFonts w:asciiTheme="minorHAnsi" w:hAnsiTheme="minorHAnsi"/>
        </w:rPr>
        <w:t xml:space="preserve"> emissions, five states originally submitted Section 309 SIPs to EPA.</w:t>
      </w:r>
      <w:r w:rsidR="00BB5AF4" w:rsidRPr="00CC6F12">
        <w:rPr>
          <w:rFonts w:asciiTheme="minorHAnsi" w:hAnsiTheme="minorHAnsi"/>
        </w:rPr>
        <w:t xml:space="preserve"> </w:t>
      </w:r>
      <w:r w:rsidRPr="00CC6F12">
        <w:rPr>
          <w:rFonts w:asciiTheme="minorHAnsi" w:hAnsiTheme="minorHAnsi"/>
        </w:rPr>
        <w:t>These states were Arizona, New Mexico, Oregon, Utah, and Wyoming.</w:t>
      </w:r>
      <w:r w:rsidR="00BB5AF4" w:rsidRPr="00CC6F12">
        <w:rPr>
          <w:rFonts w:asciiTheme="minorHAnsi" w:hAnsiTheme="minorHAnsi"/>
        </w:rPr>
        <w:t xml:space="preserve"> </w:t>
      </w:r>
      <w:r w:rsidRPr="00CC6F12">
        <w:rPr>
          <w:rFonts w:asciiTheme="minorHAnsi" w:hAnsiTheme="minorHAnsi"/>
        </w:rPr>
        <w:t xml:space="preserve">In addition, </w:t>
      </w:r>
      <w:r w:rsidR="00D15790" w:rsidRPr="00CC6F12">
        <w:rPr>
          <w:rFonts w:asciiTheme="minorHAnsi" w:hAnsiTheme="minorHAnsi"/>
        </w:rPr>
        <w:t>Albuquerque-Bernalillo County</w:t>
      </w:r>
      <w:r w:rsidRPr="00CC6F12">
        <w:rPr>
          <w:rFonts w:asciiTheme="minorHAnsi" w:hAnsiTheme="minorHAnsi"/>
        </w:rPr>
        <w:t xml:space="preserve"> also submitted a Section 309 SIP.</w:t>
      </w:r>
      <w:r w:rsidR="00BB5AF4" w:rsidRPr="00CC6F12">
        <w:rPr>
          <w:rFonts w:asciiTheme="minorHAnsi" w:hAnsiTheme="minorHAnsi"/>
        </w:rPr>
        <w:t xml:space="preserve"> </w:t>
      </w:r>
      <w:r w:rsidR="00691D7B" w:rsidRPr="00CC6F12">
        <w:rPr>
          <w:rFonts w:asciiTheme="minorHAnsi" w:hAnsiTheme="minorHAnsi"/>
        </w:rPr>
        <w:t>Due to legal challenges, EPA did not approve the initial SIP submittals</w:t>
      </w:r>
      <w:r w:rsidRPr="00CC6F12">
        <w:rPr>
          <w:rFonts w:asciiTheme="minorHAnsi" w:hAnsiTheme="minorHAnsi"/>
        </w:rPr>
        <w:t>.</w:t>
      </w:r>
      <w:r w:rsidR="00691D7B" w:rsidRPr="00CC6F12">
        <w:rPr>
          <w:rFonts w:asciiTheme="minorHAnsi" w:hAnsiTheme="minorHAnsi"/>
        </w:rPr>
        <w:t xml:space="preserve"> </w:t>
      </w:r>
      <w:r w:rsidR="00711107" w:rsidRPr="00CC6F12">
        <w:rPr>
          <w:rFonts w:asciiTheme="minorHAnsi" w:hAnsiTheme="minorHAnsi"/>
        </w:rPr>
        <w:t>EPA did, however, fully approve</w:t>
      </w:r>
      <w:r w:rsidR="00691D7B" w:rsidRPr="00CC6F12">
        <w:rPr>
          <w:rFonts w:asciiTheme="minorHAnsi" w:hAnsiTheme="minorHAnsi"/>
        </w:rPr>
        <w:t xml:space="preserve"> the regional milestone and backstop trading program</w:t>
      </w:r>
      <w:r w:rsidR="00711107" w:rsidRPr="00CC6F12">
        <w:rPr>
          <w:rFonts w:asciiTheme="minorHAnsi" w:hAnsiTheme="minorHAnsi"/>
        </w:rPr>
        <w:t xml:space="preserve"> in 2012.</w:t>
      </w:r>
      <w:r w:rsidR="00691D7B" w:rsidRPr="00CC6F12">
        <w:rPr>
          <w:rFonts w:asciiTheme="minorHAnsi" w:hAnsiTheme="minorHAnsi"/>
        </w:rPr>
        <w:t xml:space="preserve"> </w:t>
      </w:r>
    </w:p>
    <w:p w14:paraId="13FA5277" w14:textId="77777777" w:rsidR="0099781D" w:rsidRPr="00CC6F12" w:rsidRDefault="0099781D" w:rsidP="00CC6F12">
      <w:pPr>
        <w:spacing w:after="200"/>
        <w:rPr>
          <w:rFonts w:asciiTheme="minorHAnsi" w:hAnsiTheme="minorHAnsi"/>
        </w:rPr>
      </w:pPr>
      <w:r w:rsidRPr="00CC6F12">
        <w:rPr>
          <w:rFonts w:asciiTheme="minorHAnsi" w:hAnsiTheme="minorHAnsi"/>
        </w:rPr>
        <w:tab/>
        <w:t xml:space="preserve">Oregon </w:t>
      </w:r>
      <w:r w:rsidR="00165759" w:rsidRPr="00CC6F12">
        <w:rPr>
          <w:rFonts w:asciiTheme="minorHAnsi" w:hAnsiTheme="minorHAnsi"/>
        </w:rPr>
        <w:t>and Arizona have</w:t>
      </w:r>
      <w:r w:rsidRPr="00CC6F12">
        <w:rPr>
          <w:rFonts w:asciiTheme="minorHAnsi" w:hAnsiTheme="minorHAnsi"/>
        </w:rPr>
        <w:t xml:space="preserve"> opted out of submitting a revised Section 309 SIP under the modified RHR, which leaves </w:t>
      </w:r>
      <w:r w:rsidR="00165759" w:rsidRPr="00CC6F12">
        <w:rPr>
          <w:rFonts w:asciiTheme="minorHAnsi" w:hAnsiTheme="minorHAnsi"/>
        </w:rPr>
        <w:t xml:space="preserve">three </w:t>
      </w:r>
      <w:r w:rsidRPr="00CC6F12">
        <w:rPr>
          <w:rFonts w:asciiTheme="minorHAnsi" w:hAnsiTheme="minorHAnsi"/>
        </w:rPr>
        <w:t>participating states</w:t>
      </w:r>
      <w:r w:rsidR="00822D44" w:rsidRPr="00CC6F12">
        <w:rPr>
          <w:rFonts w:asciiTheme="minorHAnsi" w:hAnsiTheme="minorHAnsi"/>
        </w:rPr>
        <w:t xml:space="preserve"> and </w:t>
      </w:r>
      <w:r w:rsidR="00D15790" w:rsidRPr="00CC6F12">
        <w:rPr>
          <w:rFonts w:asciiTheme="minorHAnsi" w:hAnsiTheme="minorHAnsi"/>
        </w:rPr>
        <w:t>Albuquerque-Bernalillo County</w:t>
      </w:r>
      <w:r w:rsidRPr="00CC6F12">
        <w:rPr>
          <w:rFonts w:asciiTheme="minorHAnsi" w:hAnsiTheme="minorHAnsi"/>
        </w:rPr>
        <w:t>. To date, no tribes have opted to participate under Section 309</w:t>
      </w:r>
      <w:r w:rsidR="00ED00DA" w:rsidRPr="00CC6F12">
        <w:rPr>
          <w:rFonts w:asciiTheme="minorHAnsi" w:hAnsiTheme="minorHAnsi"/>
        </w:rPr>
        <w:t>,</w:t>
      </w:r>
      <w:r w:rsidRPr="00CC6F12">
        <w:rPr>
          <w:rFonts w:asciiTheme="minorHAnsi" w:hAnsiTheme="minorHAnsi"/>
        </w:rPr>
        <w:t xml:space="preserve"> and the other four states of the original nine opted to submit SIPs under Section 308 of the RHR. </w:t>
      </w:r>
    </w:p>
    <w:p w14:paraId="053A6238" w14:textId="77777777" w:rsidR="0099781D" w:rsidRPr="00CC6F12" w:rsidRDefault="0099781D" w:rsidP="00CC6F12">
      <w:pPr>
        <w:keepNext/>
        <w:keepLines/>
        <w:spacing w:after="200"/>
        <w:rPr>
          <w:rFonts w:asciiTheme="minorHAnsi" w:hAnsiTheme="minorHAnsi"/>
        </w:rPr>
      </w:pPr>
      <w:r w:rsidRPr="00CC6F12">
        <w:rPr>
          <w:rFonts w:asciiTheme="minorHAnsi" w:hAnsiTheme="minorHAnsi"/>
        </w:rPr>
        <w:tab/>
        <w:t xml:space="preserve">The following summarizes </w:t>
      </w:r>
      <w:r w:rsidR="00711107" w:rsidRPr="00CC6F12">
        <w:rPr>
          <w:rFonts w:asciiTheme="minorHAnsi" w:hAnsiTheme="minorHAnsi"/>
        </w:rPr>
        <w:t>SO</w:t>
      </w:r>
      <w:r w:rsidR="00711107" w:rsidRPr="00CC6F12">
        <w:rPr>
          <w:rFonts w:asciiTheme="minorHAnsi" w:hAnsiTheme="minorHAnsi"/>
          <w:vertAlign w:val="subscript"/>
        </w:rPr>
        <w:t>2</w:t>
      </w:r>
      <w:r w:rsidRPr="00CC6F12">
        <w:rPr>
          <w:rFonts w:asciiTheme="minorHAnsi" w:hAnsiTheme="minorHAnsi"/>
        </w:rPr>
        <w:t xml:space="preserve"> </w:t>
      </w:r>
      <w:r w:rsidR="00711107" w:rsidRPr="00CC6F12">
        <w:rPr>
          <w:rFonts w:asciiTheme="minorHAnsi" w:hAnsiTheme="minorHAnsi"/>
        </w:rPr>
        <w:t xml:space="preserve">related </w:t>
      </w:r>
      <w:r w:rsidRPr="00CC6F12">
        <w:rPr>
          <w:rFonts w:asciiTheme="minorHAnsi" w:hAnsiTheme="minorHAnsi"/>
        </w:rPr>
        <w:t xml:space="preserve">elements of the Section 309 process for </w:t>
      </w:r>
      <w:proofErr w:type="gramStart"/>
      <w:r w:rsidRPr="00CC6F12">
        <w:rPr>
          <w:rFonts w:asciiTheme="minorHAnsi" w:hAnsiTheme="minorHAnsi"/>
        </w:rPr>
        <w:t>the participating</w:t>
      </w:r>
      <w:proofErr w:type="gramEnd"/>
      <w:r w:rsidR="00822D44" w:rsidRPr="00CC6F12">
        <w:rPr>
          <w:rFonts w:asciiTheme="minorHAnsi" w:hAnsiTheme="minorHAnsi"/>
        </w:rPr>
        <w:t xml:space="preserve"> Section 309</w:t>
      </w:r>
      <w:r w:rsidRPr="00CC6F12">
        <w:rPr>
          <w:rFonts w:asciiTheme="minorHAnsi" w:hAnsiTheme="minorHAnsi"/>
        </w:rPr>
        <w:t xml:space="preserve"> states:</w:t>
      </w:r>
    </w:p>
    <w:p w14:paraId="2BD6C0A8" w14:textId="3CD720BC" w:rsidR="0099781D" w:rsidRPr="00CC6F12" w:rsidRDefault="0099781D" w:rsidP="00CC6F12">
      <w:pPr>
        <w:pStyle w:val="Level1"/>
        <w:keepNext/>
        <w:keepLines/>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t>Section 309(d)(4)(</w:t>
      </w:r>
      <w:proofErr w:type="spellStart"/>
      <w:r w:rsidRPr="00CC6F12">
        <w:rPr>
          <w:rFonts w:asciiTheme="minorHAnsi" w:hAnsiTheme="minorHAnsi"/>
        </w:rPr>
        <w:t>i</w:t>
      </w:r>
      <w:proofErr w:type="spellEnd"/>
      <w:r w:rsidRPr="00CC6F12">
        <w:rPr>
          <w:rFonts w:asciiTheme="minorHAnsi" w:hAnsiTheme="minorHAnsi"/>
        </w:rPr>
        <w:t>) requires SO</w:t>
      </w:r>
      <w:r w:rsidRPr="00CC6F12">
        <w:rPr>
          <w:rFonts w:asciiTheme="minorHAnsi" w:hAnsiTheme="minorHAnsi"/>
          <w:vertAlign w:val="subscript"/>
        </w:rPr>
        <w:t>2</w:t>
      </w:r>
      <w:r w:rsidRPr="00CC6F12">
        <w:rPr>
          <w:rFonts w:asciiTheme="minorHAnsi" w:hAnsiTheme="minorHAnsi"/>
        </w:rPr>
        <w:t xml:space="preserve"> milestones in the SIP and includes provisions for </w:t>
      </w:r>
      <w:r w:rsidR="00E00720" w:rsidRPr="00CC6F12">
        <w:rPr>
          <w:rFonts w:asciiTheme="minorHAnsi" w:hAnsiTheme="minorHAnsi"/>
        </w:rPr>
        <w:t>adjusting</w:t>
      </w:r>
      <w:r w:rsidRPr="00CC6F12">
        <w:rPr>
          <w:rFonts w:asciiTheme="minorHAnsi" w:hAnsiTheme="minorHAnsi"/>
        </w:rPr>
        <w:t xml:space="preserve"> these milestones</w:t>
      </w:r>
      <w:r w:rsidR="004A0C4C">
        <w:rPr>
          <w:rFonts w:asciiTheme="minorHAnsi" w:hAnsiTheme="minorHAnsi"/>
        </w:rPr>
        <w:t>,</w:t>
      </w:r>
      <w:r w:rsidRPr="00CC6F12">
        <w:rPr>
          <w:rFonts w:asciiTheme="minorHAnsi" w:hAnsiTheme="minorHAnsi"/>
        </w:rPr>
        <w:t xml:space="preserve"> if necessary.</w:t>
      </w:r>
      <w:r w:rsidR="00BB5AF4" w:rsidRPr="00CC6F12">
        <w:rPr>
          <w:rFonts w:asciiTheme="minorHAnsi" w:hAnsiTheme="minorHAnsi"/>
        </w:rPr>
        <w:t xml:space="preserve"> </w:t>
      </w:r>
      <w:r w:rsidRPr="00CC6F12">
        <w:rPr>
          <w:rFonts w:asciiTheme="minorHAnsi" w:hAnsiTheme="minorHAnsi"/>
        </w:rPr>
        <w:t>The milestones must provide for steady and continuing emission reductions through 2018 and greater reasonable progress than BART.</w:t>
      </w:r>
    </w:p>
    <w:p w14:paraId="68A9BD5A" w14:textId="369EDD7D" w:rsidR="0099781D" w:rsidRPr="00CC6F12" w:rsidRDefault="0099781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t>Section 309(d)(4)(iii) requires monitoring and reporting of stationary source SO</w:t>
      </w:r>
      <w:r w:rsidRPr="00CC6F12">
        <w:rPr>
          <w:rFonts w:asciiTheme="minorHAnsi" w:hAnsiTheme="minorHAnsi"/>
          <w:vertAlign w:val="subscript"/>
        </w:rPr>
        <w:t xml:space="preserve">2 </w:t>
      </w:r>
      <w:r w:rsidRPr="00CC6F12">
        <w:rPr>
          <w:rFonts w:asciiTheme="minorHAnsi" w:hAnsiTheme="minorHAnsi"/>
        </w:rPr>
        <w:t xml:space="preserve">emissions </w:t>
      </w:r>
      <w:r w:rsidR="00863B55" w:rsidRPr="00CC6F12">
        <w:rPr>
          <w:rFonts w:asciiTheme="minorHAnsi" w:hAnsiTheme="minorHAnsi"/>
        </w:rPr>
        <w:t>to</w:t>
      </w:r>
      <w:r w:rsidRPr="00CC6F12">
        <w:rPr>
          <w:rFonts w:asciiTheme="minorHAnsi" w:hAnsiTheme="minorHAnsi"/>
        </w:rPr>
        <w:t xml:space="preserve"> ensure the SO</w:t>
      </w:r>
      <w:r w:rsidRPr="00CC6F12">
        <w:rPr>
          <w:rFonts w:asciiTheme="minorHAnsi" w:hAnsiTheme="minorHAnsi"/>
          <w:vertAlign w:val="subscript"/>
        </w:rPr>
        <w:t>2</w:t>
      </w:r>
      <w:r w:rsidRPr="00CC6F12">
        <w:rPr>
          <w:rFonts w:asciiTheme="minorHAnsi" w:hAnsiTheme="minorHAnsi"/>
        </w:rPr>
        <w:t xml:space="preserve"> milestones are met.</w:t>
      </w:r>
      <w:r w:rsidR="00BB5AF4" w:rsidRPr="00CC6F12">
        <w:rPr>
          <w:rFonts w:asciiTheme="minorHAnsi" w:hAnsiTheme="minorHAnsi"/>
        </w:rPr>
        <w:t xml:space="preserve"> </w:t>
      </w:r>
      <w:proofErr w:type="gramStart"/>
      <w:r w:rsidRPr="00CC6F12">
        <w:rPr>
          <w:rFonts w:asciiTheme="minorHAnsi" w:hAnsiTheme="minorHAnsi"/>
        </w:rPr>
        <w:t>The SIP</w:t>
      </w:r>
      <w:proofErr w:type="gramEnd"/>
      <w:r w:rsidRPr="00CC6F12">
        <w:rPr>
          <w:rFonts w:asciiTheme="minorHAnsi" w:hAnsiTheme="minorHAnsi"/>
        </w:rPr>
        <w:t xml:space="preserve"> must commit to reporting to </w:t>
      </w:r>
      <w:proofErr w:type="gramStart"/>
      <w:r w:rsidRPr="00CC6F12">
        <w:rPr>
          <w:rFonts w:asciiTheme="minorHAnsi" w:hAnsiTheme="minorHAnsi"/>
        </w:rPr>
        <w:t>the WRAP</w:t>
      </w:r>
      <w:proofErr w:type="gramEnd"/>
      <w:r w:rsidRPr="00CC6F12">
        <w:rPr>
          <w:rFonts w:asciiTheme="minorHAnsi" w:hAnsiTheme="minorHAnsi"/>
        </w:rPr>
        <w:t xml:space="preserve"> as well as to EPA.</w:t>
      </w:r>
      <w:r w:rsidR="00BB5AF4" w:rsidRPr="00CC6F12">
        <w:rPr>
          <w:rFonts w:asciiTheme="minorHAnsi" w:hAnsiTheme="minorHAnsi"/>
        </w:rPr>
        <w:t xml:space="preserve"> </w:t>
      </w:r>
    </w:p>
    <w:p w14:paraId="52D21B1B" w14:textId="72D68747" w:rsidR="0099781D" w:rsidRDefault="0099781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sidRPr="00CC6F12">
        <w:rPr>
          <w:rFonts w:asciiTheme="minorHAnsi" w:hAnsiTheme="minorHAnsi"/>
        </w:rPr>
        <w:t>Section 309(d)(4)(iv) requires that a SIP contain criteria and procedures for activating the trading program within five years if an annual milestone is exceeded.</w:t>
      </w:r>
      <w:r w:rsidR="00BB5AF4" w:rsidRPr="00CC6F12">
        <w:rPr>
          <w:rFonts w:asciiTheme="minorHAnsi" w:hAnsiTheme="minorHAnsi"/>
        </w:rPr>
        <w:t xml:space="preserve"> </w:t>
      </w:r>
      <w:r w:rsidRPr="00CC6F12">
        <w:rPr>
          <w:rFonts w:asciiTheme="minorHAnsi" w:hAnsiTheme="minorHAnsi"/>
        </w:rPr>
        <w:t xml:space="preserve">A Section 309 SIP </w:t>
      </w:r>
      <w:r w:rsidR="004A0C4C">
        <w:rPr>
          <w:rFonts w:asciiTheme="minorHAnsi" w:hAnsiTheme="minorHAnsi"/>
        </w:rPr>
        <w:t xml:space="preserve">must </w:t>
      </w:r>
      <w:r w:rsidRPr="00CC6F12">
        <w:rPr>
          <w:rFonts w:asciiTheme="minorHAnsi" w:hAnsiTheme="minorHAnsi"/>
        </w:rPr>
        <w:t xml:space="preserve">also </w:t>
      </w:r>
      <w:r w:rsidR="00F03F92">
        <w:rPr>
          <w:rFonts w:asciiTheme="minorHAnsi" w:hAnsiTheme="minorHAnsi"/>
        </w:rPr>
        <w:t>require</w:t>
      </w:r>
      <w:r w:rsidR="00711107" w:rsidRPr="00CC6F12">
        <w:rPr>
          <w:rFonts w:asciiTheme="minorHAnsi" w:hAnsiTheme="minorHAnsi"/>
        </w:rPr>
        <w:t xml:space="preserve"> </w:t>
      </w:r>
      <w:r w:rsidRPr="00CC6F12">
        <w:rPr>
          <w:rFonts w:asciiTheme="minorHAnsi" w:hAnsiTheme="minorHAnsi"/>
        </w:rPr>
        <w:t xml:space="preserve">assessments </w:t>
      </w:r>
      <w:r w:rsidR="00711107" w:rsidRPr="00CC6F12">
        <w:rPr>
          <w:rFonts w:asciiTheme="minorHAnsi" w:hAnsiTheme="minorHAnsi"/>
        </w:rPr>
        <w:t xml:space="preserve">of the state’s progress </w:t>
      </w:r>
      <w:r w:rsidR="007E2C9A" w:rsidRPr="00CC6F12">
        <w:rPr>
          <w:rFonts w:asciiTheme="minorHAnsi" w:hAnsiTheme="minorHAnsi"/>
        </w:rPr>
        <w:t>in</w:t>
      </w:r>
      <w:r w:rsidRPr="00CC6F12">
        <w:rPr>
          <w:rFonts w:asciiTheme="minorHAnsi" w:hAnsiTheme="minorHAnsi"/>
        </w:rPr>
        <w:t xml:space="preserve"> 2013 and 2018.</w:t>
      </w:r>
    </w:p>
    <w:p w14:paraId="56CF3B7A" w14:textId="2D9F4484" w:rsidR="00E377FD" w:rsidRPr="00CC6F12" w:rsidRDefault="00E377FD" w:rsidP="00CC6F12">
      <w:pPr>
        <w:pStyle w:val="Level1"/>
        <w:widowControl/>
        <w:numPr>
          <w:ilvl w:val="0"/>
          <w:numId w:val="27"/>
        </w:numPr>
        <w:tabs>
          <w:tab w:val="left" w:pos="720"/>
        </w:tabs>
        <w:autoSpaceDE w:val="0"/>
        <w:autoSpaceDN w:val="0"/>
        <w:adjustRightInd w:val="0"/>
        <w:spacing w:after="200"/>
        <w:outlineLvl w:val="0"/>
        <w:rPr>
          <w:rFonts w:asciiTheme="minorHAnsi" w:hAnsiTheme="minorHAnsi"/>
        </w:rPr>
      </w:pPr>
      <w:r>
        <w:rPr>
          <w:rFonts w:asciiTheme="minorHAnsi" w:hAnsiTheme="minorHAnsi"/>
        </w:rPr>
        <w:lastRenderedPageBreak/>
        <w:t>Section 309(d)(4)(vi</w:t>
      </w:r>
      <w:r w:rsidRPr="00E377FD">
        <w:rPr>
          <w:rFonts w:asciiTheme="minorHAnsi" w:hAnsiTheme="minorHAnsi"/>
        </w:rPr>
        <w:t>)</w:t>
      </w:r>
      <w:r w:rsidRPr="00E377FD">
        <w:rPr>
          <w:rFonts w:asciiTheme="minorHAnsi" w:hAnsiTheme="minorHAnsi"/>
          <w:bCs/>
        </w:rPr>
        <w:t>(A)</w:t>
      </w:r>
      <w:r w:rsidRPr="00F4305F">
        <w:rPr>
          <w:rFonts w:asciiTheme="minorHAnsi" w:hAnsiTheme="minorHAnsi"/>
        </w:rPr>
        <w:t> </w:t>
      </w:r>
      <w:r>
        <w:rPr>
          <w:rFonts w:asciiTheme="minorHAnsi" w:hAnsiTheme="minorHAnsi"/>
        </w:rPr>
        <w:t>requires that u</w:t>
      </w:r>
      <w:r w:rsidRPr="00F4305F">
        <w:rPr>
          <w:rFonts w:asciiTheme="minorHAnsi" w:hAnsiTheme="minorHAnsi"/>
        </w:rPr>
        <w:t>nless and until a revised </w:t>
      </w:r>
      <w:r w:rsidRPr="00E86055">
        <w:rPr>
          <w:rFonts w:asciiTheme="minorHAnsi" w:hAnsiTheme="minorHAnsi"/>
        </w:rPr>
        <w:t>implementation plan</w:t>
      </w:r>
      <w:r w:rsidRPr="00F4305F">
        <w:rPr>
          <w:rFonts w:asciiTheme="minorHAnsi" w:hAnsiTheme="minorHAnsi"/>
        </w:rPr>
        <w:t> is submitted in accordance with </w:t>
      </w:r>
      <w:r w:rsidRPr="00E86055">
        <w:rPr>
          <w:rFonts w:asciiTheme="minorHAnsi" w:hAnsiTheme="minorHAnsi"/>
        </w:rPr>
        <w:t>§ 51.308(f)</w:t>
      </w:r>
      <w:r w:rsidRPr="00F4305F">
        <w:rPr>
          <w:rFonts w:asciiTheme="minorHAnsi" w:hAnsiTheme="minorHAnsi"/>
        </w:rPr>
        <w:t> and approved by EPA, the </w:t>
      </w:r>
      <w:r w:rsidRPr="00E86055">
        <w:rPr>
          <w:rFonts w:asciiTheme="minorHAnsi" w:hAnsiTheme="minorHAnsi"/>
        </w:rPr>
        <w:t>implementation plan</w:t>
      </w:r>
      <w:r w:rsidRPr="00F4305F">
        <w:rPr>
          <w:rFonts w:asciiTheme="minorHAnsi" w:hAnsiTheme="minorHAnsi"/>
        </w:rPr>
        <w:t> shall prohibit emissions from covered </w:t>
      </w:r>
      <w:r w:rsidRPr="00E86055">
        <w:rPr>
          <w:rFonts w:asciiTheme="minorHAnsi" w:hAnsiTheme="minorHAnsi"/>
        </w:rPr>
        <w:t>stationary sources</w:t>
      </w:r>
      <w:r w:rsidRPr="00F4305F">
        <w:rPr>
          <w:rFonts w:asciiTheme="minorHAnsi" w:hAnsiTheme="minorHAnsi"/>
        </w:rPr>
        <w:t> in any year beginning in 2018 that exceed the year 2018 milestone.</w:t>
      </w:r>
    </w:p>
    <w:p w14:paraId="6166CCD9" w14:textId="4F07D57F" w:rsidR="0099781D" w:rsidRPr="00CC6F12" w:rsidRDefault="0099781D" w:rsidP="00CC6F12">
      <w:pPr>
        <w:spacing w:after="200"/>
        <w:ind w:firstLine="720"/>
        <w:rPr>
          <w:rFonts w:asciiTheme="minorHAnsi" w:hAnsiTheme="minorHAnsi"/>
        </w:rPr>
      </w:pPr>
      <w:r w:rsidRPr="00CC6F12">
        <w:rPr>
          <w:rFonts w:asciiTheme="minorHAnsi" w:hAnsiTheme="minorHAnsi"/>
        </w:rPr>
        <w:t xml:space="preserve">This report responds to Item 2, above, and provides the annual report that compares the </w:t>
      </w:r>
      <w:r w:rsidR="00B76BF4">
        <w:rPr>
          <w:rFonts w:asciiTheme="minorHAnsi" w:hAnsiTheme="minorHAnsi"/>
        </w:rPr>
        <w:t>202</w:t>
      </w:r>
      <w:r w:rsidR="00CB24E2">
        <w:rPr>
          <w:rFonts w:asciiTheme="minorHAnsi" w:hAnsiTheme="minorHAnsi"/>
        </w:rPr>
        <w:t>3</w:t>
      </w:r>
      <w:r w:rsidR="004B7D35" w:rsidRPr="00CC6F12">
        <w:rPr>
          <w:rFonts w:asciiTheme="minorHAnsi" w:hAnsiTheme="minorHAnsi"/>
        </w:rPr>
        <w:t xml:space="preserve"> </w:t>
      </w:r>
      <w:r w:rsidRPr="00CC6F12">
        <w:rPr>
          <w:rFonts w:asciiTheme="minorHAnsi" w:hAnsiTheme="minorHAnsi"/>
        </w:rPr>
        <w:t>emissions against the milestones for the states</w:t>
      </w:r>
      <w:r w:rsidR="00FE0177" w:rsidRPr="00CC6F12">
        <w:rPr>
          <w:rFonts w:asciiTheme="minorHAnsi" w:hAnsiTheme="minorHAnsi"/>
        </w:rPr>
        <w:t xml:space="preserve"> and </w:t>
      </w:r>
      <w:proofErr w:type="gramStart"/>
      <w:r w:rsidR="00FE0177" w:rsidRPr="00CC6F12">
        <w:rPr>
          <w:rFonts w:asciiTheme="minorHAnsi" w:hAnsiTheme="minorHAnsi"/>
        </w:rPr>
        <w:t>city</w:t>
      </w:r>
      <w:proofErr w:type="gramEnd"/>
      <w:r w:rsidRPr="00CC6F12">
        <w:rPr>
          <w:rFonts w:asciiTheme="minorHAnsi" w:hAnsiTheme="minorHAnsi"/>
        </w:rPr>
        <w:t xml:space="preserve"> that have submitted Section 309 SIPs to EPA.</w:t>
      </w:r>
    </w:p>
    <w:p w14:paraId="3FCD8C34" w14:textId="77777777" w:rsidR="0099781D" w:rsidRPr="00CC6F12" w:rsidRDefault="0099781D" w:rsidP="00CC6F12">
      <w:pPr>
        <w:pStyle w:val="Heading5"/>
        <w:rPr>
          <w:rStyle w:val="WP9Hyperlink"/>
          <w:rFonts w:asciiTheme="minorHAnsi" w:hAnsiTheme="minorHAnsi"/>
          <w:color w:val="auto"/>
          <w:szCs w:val="22"/>
          <w:u w:val="none"/>
        </w:rPr>
      </w:pPr>
      <w:r w:rsidRPr="00CC6F12">
        <w:rPr>
          <w:rStyle w:val="WP9Hyperlink"/>
          <w:rFonts w:asciiTheme="minorHAnsi" w:hAnsiTheme="minorHAnsi"/>
          <w:color w:val="auto"/>
          <w:szCs w:val="22"/>
          <w:u w:val="none"/>
        </w:rPr>
        <w:t>What Elements Must the Regional SO</w:t>
      </w:r>
      <w:r w:rsidRPr="00CC6F12">
        <w:rPr>
          <w:rStyle w:val="WP9Hyperlink"/>
          <w:rFonts w:asciiTheme="minorHAnsi" w:hAnsiTheme="minorHAnsi"/>
          <w:color w:val="auto"/>
          <w:szCs w:val="22"/>
          <w:u w:val="none"/>
          <w:vertAlign w:val="subscript"/>
        </w:rPr>
        <w:t>2</w:t>
      </w:r>
      <w:r w:rsidRPr="00CC6F12">
        <w:rPr>
          <w:rStyle w:val="WP9Hyperlink"/>
          <w:rFonts w:asciiTheme="minorHAnsi" w:hAnsiTheme="minorHAnsi"/>
          <w:color w:val="auto"/>
          <w:szCs w:val="22"/>
          <w:u w:val="none"/>
        </w:rPr>
        <w:t xml:space="preserve"> Emissions and Milestone Report Contain?</w:t>
      </w:r>
    </w:p>
    <w:p w14:paraId="4B888BE5" w14:textId="77777777" w:rsidR="0099781D" w:rsidRPr="00CC6F12" w:rsidRDefault="0099781D" w:rsidP="00CC6F12">
      <w:pPr>
        <w:spacing w:after="200"/>
        <w:rPr>
          <w:rStyle w:val="WP9Hyperlink"/>
          <w:rFonts w:asciiTheme="minorHAnsi" w:hAnsiTheme="minorHAnsi"/>
          <w:color w:val="auto"/>
          <w:u w:val="none"/>
        </w:rPr>
      </w:pPr>
      <w:r w:rsidRPr="00CC6F12">
        <w:rPr>
          <w:rStyle w:val="WP9Hyperlink"/>
          <w:rFonts w:asciiTheme="minorHAnsi" w:hAnsiTheme="minorHAnsi"/>
          <w:color w:val="auto"/>
          <w:u w:val="none"/>
        </w:rPr>
        <w:tab/>
        <w:t xml:space="preserve">To facilitate compliance with </w:t>
      </w:r>
      <w:proofErr w:type="gramStart"/>
      <w:r w:rsidRPr="00CC6F12">
        <w:rPr>
          <w:rStyle w:val="WP9Hyperlink"/>
          <w:rFonts w:asciiTheme="minorHAnsi" w:hAnsiTheme="minorHAnsi"/>
          <w:color w:val="auto"/>
          <w:u w:val="none"/>
        </w:rPr>
        <w:t>the Section</w:t>
      </w:r>
      <w:proofErr w:type="gramEnd"/>
      <w:r w:rsidRPr="00CC6F12">
        <w:rPr>
          <w:rStyle w:val="WP9Hyperlink"/>
          <w:rFonts w:asciiTheme="minorHAnsi" w:hAnsiTheme="minorHAnsi"/>
          <w:color w:val="auto"/>
          <w:u w:val="none"/>
        </w:rPr>
        <w:t xml:space="preserve"> 309 SIPs, </w:t>
      </w:r>
      <w:proofErr w:type="gramStart"/>
      <w:r w:rsidRPr="00CC6F12">
        <w:rPr>
          <w:rStyle w:val="WP9Hyperlink"/>
          <w:rFonts w:asciiTheme="minorHAnsi" w:hAnsiTheme="minorHAnsi"/>
          <w:color w:val="auto"/>
          <w:u w:val="none"/>
        </w:rPr>
        <w:t>the WRAP</w:t>
      </w:r>
      <w:proofErr w:type="gramEnd"/>
      <w:r w:rsidRPr="00CC6F12">
        <w:rPr>
          <w:rStyle w:val="WP9Hyperlink"/>
          <w:rFonts w:asciiTheme="minorHAnsi" w:hAnsiTheme="minorHAnsi"/>
          <w:color w:val="auto"/>
          <w:u w:val="none"/>
        </w:rPr>
        <w:t xml:space="preserve"> has committed to compiling a regional report on emissions for each year.</w:t>
      </w:r>
      <w:r w:rsidR="00BB5AF4" w:rsidRPr="00CC6F12">
        <w:rPr>
          <w:rStyle w:val="WP9Hyperlink"/>
          <w:rFonts w:asciiTheme="minorHAnsi" w:hAnsiTheme="minorHAnsi"/>
          <w:color w:val="auto"/>
          <w:u w:val="none"/>
        </w:rPr>
        <w:t xml:space="preserve"> </w:t>
      </w:r>
      <w:r w:rsidRPr="00CC6F12">
        <w:rPr>
          <w:rStyle w:val="WP9Hyperlink"/>
          <w:rFonts w:asciiTheme="minorHAnsi" w:hAnsiTheme="minorHAnsi"/>
          <w:color w:val="auto"/>
          <w:u w:val="none"/>
        </w:rPr>
        <w:t>In accordance with the SIPs, the WRAP will compile the individual state emission reports into a summary report that includes:</w:t>
      </w:r>
      <w:r w:rsidR="00BB5AF4" w:rsidRPr="00CC6F12">
        <w:rPr>
          <w:rStyle w:val="WP9Hyperlink"/>
          <w:rFonts w:asciiTheme="minorHAnsi" w:hAnsiTheme="minorHAnsi"/>
          <w:color w:val="auto"/>
          <w:u w:val="none"/>
        </w:rPr>
        <w:t xml:space="preserve"> </w:t>
      </w:r>
    </w:p>
    <w:p w14:paraId="506BA456" w14:textId="77777777"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Reported regional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emissions (tons/year). </w:t>
      </w:r>
    </w:p>
    <w:p w14:paraId="4C8C5068" w14:textId="77777777"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Adjustments to account for:</w:t>
      </w:r>
    </w:p>
    <w:p w14:paraId="3DF58577" w14:textId="77777777" w:rsidR="0099781D" w:rsidRPr="00CC6F12" w:rsidRDefault="0099781D" w:rsidP="00CC6F12">
      <w:pPr>
        <w:pStyle w:val="ListParagraph"/>
        <w:numPr>
          <w:ilvl w:val="0"/>
          <w:numId w:val="22"/>
        </w:numPr>
        <w:spacing w:after="200"/>
        <w:rPr>
          <w:rStyle w:val="WP9Hyperlink"/>
          <w:rFonts w:asciiTheme="minorHAnsi" w:hAnsiTheme="minorHAnsi"/>
          <w:color w:val="auto"/>
          <w:u w:val="none"/>
        </w:rPr>
      </w:pPr>
      <w:r w:rsidRPr="00CC6F12">
        <w:rPr>
          <w:rStyle w:val="WP9Hyperlink"/>
          <w:rFonts w:asciiTheme="minorHAnsi" w:hAnsiTheme="minorHAnsi"/>
          <w:color w:val="auto"/>
          <w:u w:val="none"/>
        </w:rPr>
        <w:t xml:space="preserve">Changes in emissions monitoring or calculation methods; or </w:t>
      </w:r>
    </w:p>
    <w:p w14:paraId="0F0DFE59" w14:textId="77777777" w:rsidR="0099781D" w:rsidRPr="00CC6F12" w:rsidRDefault="0099781D" w:rsidP="00CC6F12">
      <w:pPr>
        <w:pStyle w:val="ListParagraph"/>
        <w:numPr>
          <w:ilvl w:val="0"/>
          <w:numId w:val="22"/>
        </w:numPr>
        <w:spacing w:after="200"/>
        <w:rPr>
          <w:rStyle w:val="WP9Hyperlink"/>
          <w:rFonts w:asciiTheme="minorHAnsi" w:hAnsiTheme="minorHAnsi"/>
          <w:color w:val="auto"/>
          <w:u w:val="none"/>
        </w:rPr>
      </w:pPr>
      <w:r w:rsidRPr="00CC6F12">
        <w:rPr>
          <w:rStyle w:val="WP9Hyperlink"/>
          <w:rFonts w:asciiTheme="minorHAnsi" w:hAnsiTheme="minorHAnsi"/>
          <w:color w:val="auto"/>
          <w:u w:val="none"/>
        </w:rPr>
        <w:t xml:space="preserve">Enforcement actions or settlement agreements </w:t>
      </w:r>
      <w:proofErr w:type="gramStart"/>
      <w:r w:rsidRPr="00CC6F12">
        <w:rPr>
          <w:rStyle w:val="WP9Hyperlink"/>
          <w:rFonts w:asciiTheme="minorHAnsi" w:hAnsiTheme="minorHAnsi"/>
          <w:color w:val="auto"/>
          <w:u w:val="none"/>
        </w:rPr>
        <w:t>as a result of</w:t>
      </w:r>
      <w:proofErr w:type="gramEnd"/>
      <w:r w:rsidRPr="00CC6F12">
        <w:rPr>
          <w:rStyle w:val="WP9Hyperlink"/>
          <w:rFonts w:asciiTheme="minorHAnsi" w:hAnsiTheme="minorHAnsi"/>
          <w:color w:val="auto"/>
          <w:u w:val="none"/>
        </w:rPr>
        <w:t xml:space="preserve"> enforcement actions.</w:t>
      </w:r>
    </w:p>
    <w:p w14:paraId="26E36730" w14:textId="3AF37095" w:rsidR="0099781D" w:rsidRPr="00CC6F12" w:rsidRDefault="0099781D" w:rsidP="00CC6F12">
      <w:pPr>
        <w:pStyle w:val="ListParagraph"/>
        <w:numPr>
          <w:ilvl w:val="0"/>
          <w:numId w:val="23"/>
        </w:numPr>
        <w:spacing w:after="200"/>
        <w:ind w:left="720"/>
        <w:rPr>
          <w:rStyle w:val="WP9Hyperlink"/>
          <w:rFonts w:asciiTheme="minorHAnsi" w:hAnsiTheme="minorHAnsi"/>
          <w:color w:val="auto"/>
          <w:u w:val="none"/>
        </w:rPr>
      </w:pPr>
      <w:r w:rsidRPr="00CC6F12">
        <w:rPr>
          <w:rStyle w:val="WP9Hyperlink"/>
          <w:rFonts w:asciiTheme="minorHAnsi" w:hAnsiTheme="minorHAnsi"/>
          <w:color w:val="auto"/>
          <w:u w:val="none"/>
        </w:rPr>
        <w:t xml:space="preserve">As applicable, average adjusted emissions for the last three years (which are compared to the regional milestone). </w:t>
      </w:r>
      <w:r w:rsidR="007E2C9A" w:rsidRPr="00CC6F12">
        <w:rPr>
          <w:rStyle w:val="WP9Hyperlink"/>
          <w:rFonts w:asciiTheme="minorHAnsi" w:hAnsiTheme="minorHAnsi"/>
          <w:color w:val="auto"/>
          <w:u w:val="none"/>
        </w:rPr>
        <w:t>Per requirements in the Section 309 SIPs,</w:t>
      </w:r>
      <w:r w:rsidR="00870BBF">
        <w:rPr>
          <w:rStyle w:val="WP9Hyperlink"/>
          <w:rFonts w:asciiTheme="minorHAnsi" w:hAnsiTheme="minorHAnsi"/>
          <w:color w:val="auto"/>
          <w:u w:val="none"/>
        </w:rPr>
        <w:t xml:space="preserve"> it is understood that a single year of emissions</w:t>
      </w:r>
      <w:r w:rsidRPr="00CC6F12">
        <w:rPr>
          <w:rStyle w:val="WP9Hyperlink"/>
          <w:rFonts w:asciiTheme="minorHAnsi" w:hAnsiTheme="minorHAnsi"/>
          <w:color w:val="auto"/>
          <w:u w:val="none"/>
        </w:rPr>
        <w:t xml:space="preserve"> are </w:t>
      </w:r>
      <w:r w:rsidR="00473F4E">
        <w:rPr>
          <w:rStyle w:val="WP9Hyperlink"/>
          <w:rFonts w:asciiTheme="minorHAnsi" w:hAnsiTheme="minorHAnsi"/>
          <w:color w:val="auto"/>
          <w:u w:val="none"/>
        </w:rPr>
        <w:t>used in the report</w:t>
      </w:r>
      <w:r w:rsidR="00870BBF">
        <w:rPr>
          <w:rStyle w:val="WP9Hyperlink"/>
          <w:rFonts w:asciiTheme="minorHAnsi" w:hAnsiTheme="minorHAnsi"/>
          <w:color w:val="auto"/>
          <w:u w:val="none"/>
        </w:rPr>
        <w:t xml:space="preserve"> beginning in 2018</w:t>
      </w:r>
      <w:r w:rsidRPr="00CC6F12">
        <w:rPr>
          <w:rStyle w:val="WP9Hyperlink"/>
          <w:rFonts w:asciiTheme="minorHAnsi" w:hAnsiTheme="minorHAnsi"/>
          <w:color w:val="auto"/>
          <w:u w:val="none"/>
        </w:rPr>
        <w:t>.</w:t>
      </w:r>
    </w:p>
    <w:p w14:paraId="7CFA6185" w14:textId="77777777" w:rsidR="0099781D" w:rsidRPr="00CC6F12" w:rsidRDefault="0099781D" w:rsidP="00CC6F12">
      <w:pPr>
        <w:pStyle w:val="Heading5"/>
        <w:rPr>
          <w:rStyle w:val="WP9Hyperlink"/>
          <w:rFonts w:asciiTheme="minorHAnsi" w:hAnsiTheme="minorHAnsi"/>
          <w:color w:val="000000"/>
          <w:szCs w:val="22"/>
          <w:u w:val="none"/>
        </w:rPr>
      </w:pPr>
      <w:r w:rsidRPr="00CC6F12">
        <w:rPr>
          <w:rStyle w:val="WP9Hyperlink"/>
          <w:rFonts w:asciiTheme="minorHAnsi" w:hAnsiTheme="minorHAnsi"/>
          <w:color w:val="000000"/>
          <w:szCs w:val="22"/>
          <w:u w:val="none"/>
        </w:rPr>
        <w:t>How Is Compliance with the SO</w:t>
      </w:r>
      <w:r w:rsidRPr="00CC6F12">
        <w:rPr>
          <w:rStyle w:val="WP9Hyperlink"/>
          <w:rFonts w:asciiTheme="minorHAnsi" w:hAnsiTheme="minorHAnsi"/>
          <w:color w:val="000000"/>
          <w:szCs w:val="22"/>
          <w:u w:val="none"/>
          <w:vertAlign w:val="subscript"/>
        </w:rPr>
        <w:t>2</w:t>
      </w:r>
      <w:r w:rsidRPr="00CC6F12">
        <w:rPr>
          <w:rStyle w:val="WP9Hyperlink"/>
          <w:rFonts w:asciiTheme="minorHAnsi" w:hAnsiTheme="minorHAnsi"/>
          <w:color w:val="000000"/>
          <w:szCs w:val="22"/>
          <w:u w:val="none"/>
        </w:rPr>
        <w:t xml:space="preserve"> Milestone Determined?</w:t>
      </w:r>
    </w:p>
    <w:p w14:paraId="2C7C174A" w14:textId="32D0C26D" w:rsidR="0099781D" w:rsidRPr="00CC6F12" w:rsidRDefault="0099781D" w:rsidP="00CC6F12">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t>While the WRAP assists with the preparation of this report, each</w:t>
      </w:r>
      <w:r w:rsidR="00FE0177" w:rsidRPr="00CC6F12">
        <w:rPr>
          <w:rStyle w:val="WP9Hyperlink"/>
          <w:rFonts w:asciiTheme="minorHAnsi" w:hAnsiTheme="minorHAnsi"/>
          <w:color w:val="000000"/>
          <w:u w:val="none"/>
        </w:rPr>
        <w:t xml:space="preserve"> Section 309</w:t>
      </w:r>
      <w:r w:rsidRPr="00CC6F12">
        <w:rPr>
          <w:rStyle w:val="WP9Hyperlink"/>
          <w:rFonts w:asciiTheme="minorHAnsi" w:hAnsiTheme="minorHAnsi"/>
          <w:color w:val="000000"/>
          <w:u w:val="none"/>
        </w:rPr>
        <w:t xml:space="preserve"> state review</w:t>
      </w:r>
      <w:r w:rsidR="00605DC0">
        <w:rPr>
          <w:rStyle w:val="WP9Hyperlink"/>
          <w:rFonts w:asciiTheme="minorHAnsi" w:hAnsiTheme="minorHAnsi"/>
          <w:color w:val="000000"/>
          <w:u w:val="none"/>
        </w:rPr>
        <w:t>s the information in the report</w:t>
      </w:r>
      <w:r w:rsidRPr="00CC6F12">
        <w:rPr>
          <w:rStyle w:val="WP9Hyperlink"/>
          <w:rFonts w:asciiTheme="minorHAnsi" w:hAnsiTheme="minorHAnsi"/>
          <w:color w:val="000000"/>
          <w:u w:val="none"/>
        </w:rPr>
        <w:t xml:space="preserve"> and proposes a draft determination that the regional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milestone</w:t>
      </w:r>
      <w:r w:rsidR="00B13691">
        <w:rPr>
          <w:rStyle w:val="WP9Hyperlink"/>
          <w:rFonts w:asciiTheme="minorHAnsi" w:hAnsiTheme="minorHAnsi"/>
          <w:color w:val="000000"/>
          <w:u w:val="none"/>
        </w:rPr>
        <w:t xml:space="preserve"> is</w:t>
      </w:r>
      <w:r w:rsidR="00605DC0">
        <w:rPr>
          <w:rStyle w:val="WP9Hyperlink"/>
          <w:rFonts w:asciiTheme="minorHAnsi" w:hAnsiTheme="minorHAnsi"/>
          <w:color w:val="000000"/>
          <w:u w:val="none"/>
        </w:rPr>
        <w:t xml:space="preserve"> either</w:t>
      </w:r>
      <w:r w:rsidRPr="00CC6F12">
        <w:rPr>
          <w:rStyle w:val="WP9Hyperlink"/>
          <w:rFonts w:asciiTheme="minorHAnsi" w:hAnsiTheme="minorHAnsi"/>
          <w:color w:val="000000"/>
          <w:u w:val="none"/>
        </w:rPr>
        <w:t xml:space="preserve"> met or exceeded</w:t>
      </w:r>
      <w:r w:rsidR="00B13691">
        <w:rPr>
          <w:rStyle w:val="WP9Hyperlink"/>
          <w:rFonts w:asciiTheme="minorHAnsi" w:hAnsiTheme="minorHAnsi"/>
          <w:color w:val="000000"/>
          <w:u w:val="none"/>
        </w:rPr>
        <w:t xml:space="preserve"> </w:t>
      </w:r>
      <w:r w:rsidR="00605DC0">
        <w:rPr>
          <w:rStyle w:val="WP9Hyperlink"/>
          <w:rFonts w:asciiTheme="minorHAnsi" w:hAnsiTheme="minorHAnsi"/>
          <w:color w:val="000000"/>
          <w:u w:val="none"/>
        </w:rPr>
        <w:t xml:space="preserve">for </w:t>
      </w:r>
      <w:r w:rsidR="00B13691">
        <w:rPr>
          <w:rStyle w:val="WP9Hyperlink"/>
          <w:rFonts w:asciiTheme="minorHAnsi" w:hAnsiTheme="minorHAnsi"/>
          <w:color w:val="000000"/>
          <w:u w:val="none"/>
        </w:rPr>
        <w:t>that year</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00B13691">
        <w:rPr>
          <w:rStyle w:val="WP9Hyperlink"/>
          <w:rFonts w:asciiTheme="minorHAnsi" w:hAnsiTheme="minorHAnsi"/>
          <w:color w:val="000000"/>
          <w:u w:val="none"/>
        </w:rPr>
        <w:t>Each state submits t</w:t>
      </w:r>
      <w:r w:rsidRPr="00CC6F12">
        <w:rPr>
          <w:rStyle w:val="WP9Hyperlink"/>
          <w:rFonts w:asciiTheme="minorHAnsi" w:hAnsiTheme="minorHAnsi"/>
          <w:color w:val="000000"/>
          <w:u w:val="none"/>
        </w:rPr>
        <w:t>he draft determination for public review and comment</w:t>
      </w:r>
      <w:r w:rsidR="007C0B3F">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w:t>
      </w:r>
      <w:r w:rsidR="007C0B3F">
        <w:rPr>
          <w:rStyle w:val="WP9Hyperlink"/>
          <w:rFonts w:asciiTheme="minorHAnsi" w:hAnsiTheme="minorHAnsi"/>
          <w:color w:val="000000"/>
          <w:u w:val="none"/>
        </w:rPr>
        <w:t>in accordance with its SIP</w:t>
      </w:r>
      <w:r w:rsidRPr="00CC6F12">
        <w:rPr>
          <w:rStyle w:val="WP9Hyperlink"/>
          <w:rFonts w:asciiTheme="minorHAnsi" w:hAnsiTheme="minorHAnsi"/>
          <w:color w:val="000000"/>
          <w:u w:val="none"/>
        </w:rPr>
        <w:t>.</w:t>
      </w:r>
      <w:r w:rsidR="00165759" w:rsidRPr="00CC6F12">
        <w:rPr>
          <w:rStyle w:val="WP9Hyperlink"/>
          <w:rFonts w:asciiTheme="minorHAnsi" w:hAnsiTheme="minorHAnsi"/>
          <w:color w:val="000000"/>
          <w:u w:val="none"/>
        </w:rPr>
        <w:t xml:space="preserve"> </w:t>
      </w:r>
    </w:p>
    <w:p w14:paraId="2F9641FC" w14:textId="77777777" w:rsidR="0099781D" w:rsidRPr="005F018D" w:rsidRDefault="0099781D" w:rsidP="00903CE4">
      <w:pPr>
        <w:pStyle w:val="Heading2"/>
        <w:spacing w:before="200"/>
        <w:ind w:firstLine="720"/>
        <w:rPr>
          <w:rStyle w:val="WP9Hyperlink"/>
          <w:b w:val="0"/>
          <w:color w:val="000000"/>
          <w:u w:val="none"/>
        </w:rPr>
      </w:pPr>
      <w:r w:rsidRPr="005F018D">
        <w:rPr>
          <w:rStyle w:val="WP9Hyperlink"/>
          <w:b w:val="0"/>
          <w:color w:val="000000"/>
          <w:u w:val="none"/>
        </w:rPr>
        <w:t>1.2</w:t>
      </w:r>
      <w:r w:rsidR="005142EC">
        <w:rPr>
          <w:rStyle w:val="WP9Hyperlink"/>
          <w:b w:val="0"/>
          <w:color w:val="000000"/>
          <w:u w:val="none"/>
        </w:rPr>
        <w:tab/>
      </w:r>
      <w:r w:rsidRPr="005F018D">
        <w:rPr>
          <w:rStyle w:val="WP9Hyperlink"/>
          <w:b w:val="0"/>
          <w:color w:val="000000"/>
          <w:u w:val="none"/>
        </w:rPr>
        <w:t xml:space="preserve">Report Organization </w:t>
      </w:r>
    </w:p>
    <w:p w14:paraId="326E1AB1" w14:textId="06DCA919" w:rsidR="0099781D" w:rsidRPr="00CC6F12" w:rsidRDefault="0099781D" w:rsidP="00BB5AF4">
      <w:pPr>
        <w:keepNext/>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This report presents the regional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and milestone information required by the 309 SIPs for </w:t>
      </w:r>
      <w:r w:rsidR="00A110D0">
        <w:rPr>
          <w:rStyle w:val="WP9Hyperlink"/>
          <w:rFonts w:asciiTheme="minorHAnsi" w:hAnsiTheme="minorHAnsi"/>
          <w:color w:val="000000"/>
          <w:u w:val="none"/>
        </w:rPr>
        <w:t xml:space="preserve">the </w:t>
      </w:r>
      <w:r w:rsidRPr="00CC6F12">
        <w:rPr>
          <w:rStyle w:val="WP9Hyperlink"/>
          <w:rFonts w:asciiTheme="minorHAnsi" w:hAnsiTheme="minorHAnsi"/>
          <w:color w:val="000000"/>
          <w:u w:val="none"/>
        </w:rPr>
        <w:t>states</w:t>
      </w:r>
      <w:r w:rsidR="00A110D0">
        <w:rPr>
          <w:rStyle w:val="WP9Hyperlink"/>
          <w:rFonts w:asciiTheme="minorHAnsi" w:hAnsiTheme="minorHAnsi"/>
          <w:color w:val="000000"/>
          <w:u w:val="none"/>
        </w:rPr>
        <w:t xml:space="preserve"> that opted into the program</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The report is divided into the following sections, including two appendices:</w:t>
      </w:r>
    </w:p>
    <w:p w14:paraId="4502D057" w14:textId="5124ECDB" w:rsidR="0099781D" w:rsidRPr="00CC6F12" w:rsidRDefault="0099781D" w:rsidP="00BB5AF4">
      <w:pPr>
        <w:pStyle w:val="ListParagraph"/>
        <w:keepNext/>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Reported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in </w:t>
      </w:r>
      <w:proofErr w:type="gramStart"/>
      <w:r w:rsidR="00B76BF4">
        <w:rPr>
          <w:rStyle w:val="WP9Hyperlink"/>
          <w:rFonts w:asciiTheme="minorHAnsi" w:hAnsiTheme="minorHAnsi"/>
          <w:color w:val="000000"/>
          <w:u w:val="none"/>
        </w:rPr>
        <w:t>202</w:t>
      </w:r>
      <w:r w:rsidR="00CC7268">
        <w:rPr>
          <w:rStyle w:val="WP9Hyperlink"/>
          <w:rFonts w:asciiTheme="minorHAnsi" w:hAnsiTheme="minorHAnsi"/>
          <w:color w:val="000000"/>
          <w:u w:val="none"/>
        </w:rPr>
        <w:t>3</w:t>
      </w:r>
      <w:r w:rsidRPr="00CC6F12">
        <w:rPr>
          <w:rStyle w:val="WP9Hyperlink"/>
          <w:rFonts w:asciiTheme="minorHAnsi" w:hAnsiTheme="minorHAnsi"/>
          <w:color w:val="000000"/>
          <w:u w:val="none"/>
        </w:rPr>
        <w:t>;</w:t>
      </w:r>
      <w:proofErr w:type="gramEnd"/>
    </w:p>
    <w:p w14:paraId="17FF83DB" w14:textId="77777777" w:rsidR="0099781D" w:rsidRPr="00CC6F12" w:rsidRDefault="007E2C9A" w:rsidP="00BB5AF4">
      <w:pPr>
        <w:pStyle w:val="ListParagraph"/>
        <w:keepNext/>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Emissions Adjustments Related to Monitoring Methodology</w:t>
      </w:r>
      <w:r w:rsidR="001D404B">
        <w:rPr>
          <w:rStyle w:val="WP9Hyperlink"/>
          <w:rFonts w:asciiTheme="minorHAnsi" w:hAnsiTheme="minorHAnsi"/>
          <w:color w:val="000000"/>
          <w:u w:val="none"/>
        </w:rPr>
        <w:t xml:space="preserve"> or Enforcement </w:t>
      </w:r>
      <w:proofErr w:type="gramStart"/>
      <w:r w:rsidR="001D404B">
        <w:rPr>
          <w:rStyle w:val="WP9Hyperlink"/>
          <w:rFonts w:asciiTheme="minorHAnsi" w:hAnsiTheme="minorHAnsi"/>
          <w:color w:val="000000"/>
          <w:u w:val="none"/>
        </w:rPr>
        <w:t>Actions</w:t>
      </w:r>
      <w:r w:rsidR="0099781D" w:rsidRPr="00CC6F12">
        <w:rPr>
          <w:rStyle w:val="WP9Hyperlink"/>
          <w:rFonts w:asciiTheme="minorHAnsi" w:hAnsiTheme="minorHAnsi"/>
          <w:color w:val="000000"/>
          <w:u w:val="none"/>
        </w:rPr>
        <w:t>;</w:t>
      </w:r>
      <w:proofErr w:type="gramEnd"/>
    </w:p>
    <w:p w14:paraId="407231C4" w14:textId="52C39788" w:rsidR="0099781D" w:rsidRPr="00BB3A94" w:rsidRDefault="00B76BF4" w:rsidP="00BB5AF4">
      <w:pPr>
        <w:pStyle w:val="ListParagraph"/>
        <w:numPr>
          <w:ilvl w:val="0"/>
          <w:numId w:val="24"/>
        </w:numPr>
        <w:spacing w:after="200"/>
        <w:rPr>
          <w:rStyle w:val="WP9Hyperlink"/>
          <w:rFonts w:asciiTheme="minorHAnsi" w:hAnsiTheme="minorHAnsi"/>
          <w:color w:val="000000"/>
          <w:u w:val="none"/>
        </w:rPr>
      </w:pPr>
      <w:r>
        <w:rPr>
          <w:rStyle w:val="WP9Hyperlink"/>
          <w:rFonts w:asciiTheme="minorHAnsi" w:hAnsiTheme="minorHAnsi"/>
          <w:color w:val="000000"/>
          <w:u w:val="none"/>
        </w:rPr>
        <w:t>202</w:t>
      </w:r>
      <w:r w:rsidR="00BB44EB">
        <w:rPr>
          <w:rStyle w:val="WP9Hyperlink"/>
          <w:rFonts w:asciiTheme="minorHAnsi" w:hAnsiTheme="minorHAnsi"/>
          <w:color w:val="000000"/>
          <w:u w:val="none"/>
        </w:rPr>
        <w:t>3</w:t>
      </w:r>
      <w:r w:rsidR="00BB3A94" w:rsidRPr="00BB3A94">
        <w:rPr>
          <w:rStyle w:val="WP9Hyperlink"/>
          <w:rFonts w:asciiTheme="minorHAnsi" w:hAnsiTheme="minorHAnsi"/>
          <w:color w:val="000000"/>
          <w:u w:val="none"/>
        </w:rPr>
        <w:t xml:space="preserve"> Adjusted </w:t>
      </w:r>
      <w:proofErr w:type="gramStart"/>
      <w:r w:rsidR="00BB3A94" w:rsidRPr="00BB3A94">
        <w:rPr>
          <w:rStyle w:val="WP9Hyperlink"/>
          <w:rFonts w:asciiTheme="minorHAnsi" w:hAnsiTheme="minorHAnsi"/>
          <w:color w:val="000000"/>
          <w:u w:val="none"/>
        </w:rPr>
        <w:t>Emissions</w:t>
      </w:r>
      <w:r w:rsidR="0099781D" w:rsidRPr="00BB3A94">
        <w:rPr>
          <w:rStyle w:val="WP9Hyperlink"/>
          <w:rFonts w:asciiTheme="minorHAnsi" w:hAnsiTheme="minorHAnsi"/>
          <w:color w:val="000000"/>
          <w:u w:val="none"/>
        </w:rPr>
        <w:t>;</w:t>
      </w:r>
      <w:proofErr w:type="gramEnd"/>
    </w:p>
    <w:p w14:paraId="77EBF16F"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Enforcement Milestone </w:t>
      </w:r>
      <w:proofErr w:type="gramStart"/>
      <w:r w:rsidRPr="00CC6F12">
        <w:rPr>
          <w:rStyle w:val="WP9Hyperlink"/>
          <w:rFonts w:asciiTheme="minorHAnsi" w:hAnsiTheme="minorHAnsi"/>
          <w:color w:val="000000"/>
          <w:u w:val="none"/>
        </w:rPr>
        <w:t>Adjustments;</w:t>
      </w:r>
      <w:proofErr w:type="gramEnd"/>
    </w:p>
    <w:p w14:paraId="319A293C"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Quality Assurance (Including Source Change Information</w:t>
      </w:r>
      <w:proofErr w:type="gramStart"/>
      <w:r w:rsidRPr="00CC6F12">
        <w:rPr>
          <w:rStyle w:val="WP9Hyperlink"/>
          <w:rFonts w:asciiTheme="minorHAnsi" w:hAnsiTheme="minorHAnsi"/>
          <w:color w:val="000000"/>
          <w:u w:val="none"/>
        </w:rPr>
        <w:t>);</w:t>
      </w:r>
      <w:proofErr w:type="gramEnd"/>
    </w:p>
    <w:p w14:paraId="022CAAA8" w14:textId="77777777" w:rsidR="00DD5DDF"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Milestone </w:t>
      </w:r>
      <w:proofErr w:type="gramStart"/>
      <w:r w:rsidRPr="00CC6F12">
        <w:rPr>
          <w:rStyle w:val="WP9Hyperlink"/>
          <w:rFonts w:asciiTheme="minorHAnsi" w:hAnsiTheme="minorHAnsi"/>
          <w:color w:val="000000"/>
          <w:u w:val="none"/>
        </w:rPr>
        <w:t>Determination;</w:t>
      </w:r>
      <w:proofErr w:type="gramEnd"/>
    </w:p>
    <w:p w14:paraId="069BA9EE" w14:textId="77777777" w:rsidR="00DD5DDF"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Appendix A -- Facility Emissions and Emissions Adjustments; and</w:t>
      </w:r>
    </w:p>
    <w:p w14:paraId="1CD2BA1A" w14:textId="77777777" w:rsidR="0099781D" w:rsidRPr="00CC6F12" w:rsidRDefault="0099781D" w:rsidP="00BB5AF4">
      <w:pPr>
        <w:pStyle w:val="ListParagraph"/>
        <w:numPr>
          <w:ilvl w:val="0"/>
          <w:numId w:val="24"/>
        </w:numPr>
        <w:spacing w:after="200"/>
        <w:rPr>
          <w:rStyle w:val="WP9Hyperlink"/>
          <w:rFonts w:asciiTheme="minorHAnsi" w:hAnsiTheme="minorHAnsi"/>
          <w:color w:val="000000"/>
          <w:u w:val="none"/>
        </w:rPr>
      </w:pPr>
      <w:r w:rsidRPr="00CC6F12">
        <w:rPr>
          <w:rStyle w:val="WP9Hyperlink"/>
          <w:rFonts w:asciiTheme="minorHAnsi" w:hAnsiTheme="minorHAnsi"/>
          <w:color w:val="auto"/>
          <w:u w:val="none"/>
        </w:rPr>
        <w:t>Appendix B -- Changes to SO</w:t>
      </w:r>
      <w:r w:rsidRPr="00CC6F12">
        <w:rPr>
          <w:rStyle w:val="WP9Hyperlink"/>
          <w:rFonts w:asciiTheme="minorHAnsi" w:hAnsiTheme="minorHAnsi"/>
          <w:color w:val="auto"/>
          <w:u w:val="none"/>
          <w:vertAlign w:val="subscript"/>
        </w:rPr>
        <w:t>2</w:t>
      </w:r>
      <w:r w:rsidRPr="00CC6F12">
        <w:rPr>
          <w:rStyle w:val="WP9Hyperlink"/>
          <w:rFonts w:asciiTheme="minorHAnsi" w:hAnsiTheme="minorHAnsi"/>
          <w:color w:val="auto"/>
          <w:u w:val="none"/>
        </w:rPr>
        <w:t xml:space="preserve"> Emissions and Milestone Source Inventory.</w:t>
      </w:r>
    </w:p>
    <w:p w14:paraId="2ECA0F1B" w14:textId="4DCD2B8C" w:rsidR="007E7AAB" w:rsidRPr="007E7AAB" w:rsidRDefault="0099781D" w:rsidP="00473F4E">
      <w:pPr>
        <w:pStyle w:val="Heading2"/>
      </w:pPr>
      <w:r w:rsidRPr="00CF4AD6">
        <w:rPr>
          <w:rStyle w:val="WP9Hyperlink"/>
          <w:b w:val="0"/>
          <w:color w:val="000000"/>
          <w:szCs w:val="24"/>
          <w:u w:val="none"/>
        </w:rPr>
        <w:t>2.0</w:t>
      </w:r>
      <w:r w:rsidR="005142EC">
        <w:rPr>
          <w:rStyle w:val="WP9Hyperlink"/>
          <w:b w:val="0"/>
          <w:color w:val="000000"/>
          <w:szCs w:val="24"/>
          <w:u w:val="none"/>
        </w:rPr>
        <w:tab/>
      </w:r>
      <w:r w:rsidRPr="00CF4AD6">
        <w:rPr>
          <w:rStyle w:val="WP9Hyperlink"/>
          <w:b w:val="0"/>
          <w:color w:val="000000"/>
          <w:szCs w:val="24"/>
          <w:u w:val="none"/>
        </w:rPr>
        <w:t>Reported SO</w:t>
      </w:r>
      <w:r w:rsidRPr="00CF4AD6">
        <w:rPr>
          <w:rStyle w:val="WP9Hyperlink"/>
          <w:b w:val="0"/>
          <w:color w:val="000000"/>
          <w:szCs w:val="24"/>
          <w:u w:val="none"/>
          <w:vertAlign w:val="subscript"/>
        </w:rPr>
        <w:t>2</w:t>
      </w:r>
      <w:r w:rsidRPr="00CF4AD6">
        <w:rPr>
          <w:rStyle w:val="WP9Hyperlink"/>
          <w:b w:val="0"/>
          <w:color w:val="000000"/>
          <w:szCs w:val="24"/>
          <w:u w:val="none"/>
        </w:rPr>
        <w:t xml:space="preserve"> Emissions in </w:t>
      </w:r>
      <w:r w:rsidR="00B76BF4">
        <w:rPr>
          <w:rStyle w:val="WP9Hyperlink"/>
          <w:b w:val="0"/>
          <w:color w:val="000000"/>
          <w:szCs w:val="24"/>
          <w:u w:val="none"/>
        </w:rPr>
        <w:t>202</w:t>
      </w:r>
      <w:r w:rsidR="00CC7268">
        <w:rPr>
          <w:rStyle w:val="WP9Hyperlink"/>
          <w:b w:val="0"/>
          <w:color w:val="000000"/>
          <w:szCs w:val="24"/>
          <w:u w:val="none"/>
        </w:rPr>
        <w:t>3</w:t>
      </w:r>
    </w:p>
    <w:p w14:paraId="61481889" w14:textId="016F977D" w:rsidR="0099781D" w:rsidRDefault="0099781D" w:rsidP="00903CE4">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proofErr w:type="gramStart"/>
      <w:r w:rsidR="007E2C9A" w:rsidRPr="00CC6F12">
        <w:rPr>
          <w:rStyle w:val="WP9Hyperlink"/>
          <w:rFonts w:asciiTheme="minorHAnsi" w:hAnsiTheme="minorHAnsi"/>
          <w:color w:val="000000"/>
          <w:u w:val="none"/>
        </w:rPr>
        <w:t>The Section</w:t>
      </w:r>
      <w:proofErr w:type="gramEnd"/>
      <w:r w:rsidR="007E2C9A" w:rsidRPr="00CC6F12">
        <w:rPr>
          <w:rStyle w:val="WP9Hyperlink"/>
          <w:rFonts w:asciiTheme="minorHAnsi" w:hAnsiTheme="minorHAnsi"/>
          <w:color w:val="000000"/>
          <w:u w:val="none"/>
        </w:rPr>
        <w:t xml:space="preserve"> 309 SIPs require a</w:t>
      </w:r>
      <w:r w:rsidRPr="00CC6F12">
        <w:rPr>
          <w:rStyle w:val="WP9Hyperlink"/>
          <w:rFonts w:asciiTheme="minorHAnsi" w:hAnsiTheme="minorHAnsi"/>
          <w:color w:val="000000"/>
          <w:u w:val="none"/>
        </w:rPr>
        <w:t>ll stationary sources with reported emissions of 100 tons or more per year in</w:t>
      </w:r>
      <w:r w:rsidR="00605DC0">
        <w:rPr>
          <w:rStyle w:val="WP9Hyperlink"/>
          <w:rFonts w:asciiTheme="minorHAnsi" w:hAnsiTheme="minorHAnsi"/>
          <w:color w:val="000000"/>
          <w:u w:val="none"/>
        </w:rPr>
        <w:t xml:space="preserve"> the year</w:t>
      </w:r>
      <w:r w:rsidRPr="00CC6F12">
        <w:rPr>
          <w:rStyle w:val="WP9Hyperlink"/>
          <w:rFonts w:asciiTheme="minorHAnsi" w:hAnsiTheme="minorHAnsi"/>
          <w:color w:val="000000"/>
          <w:u w:val="none"/>
        </w:rPr>
        <w:t xml:space="preserve"> 2000</w:t>
      </w:r>
      <w:r w:rsidR="00605DC0">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or any subsequent year</w:t>
      </w:r>
      <w:r w:rsidR="00605DC0">
        <w:rPr>
          <w:rStyle w:val="WP9Hyperlink"/>
          <w:rFonts w:asciiTheme="minorHAnsi" w:hAnsiTheme="minorHAnsi"/>
          <w:color w:val="000000"/>
          <w:u w:val="none"/>
        </w:rPr>
        <w:t>,</w:t>
      </w:r>
      <w:r w:rsidRPr="00CC6F12">
        <w:rPr>
          <w:rStyle w:val="WP9Hyperlink"/>
          <w:rFonts w:asciiTheme="minorHAnsi" w:hAnsiTheme="minorHAnsi"/>
          <w:color w:val="000000"/>
          <w:u w:val="none"/>
        </w:rPr>
        <w:t xml:space="preserve"> to report annual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w:t>
      </w:r>
      <w:r w:rsidR="00473F4E">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Table 1 summarizes the annual reported emissions from applicable sources in each state.</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The </w:t>
      </w:r>
      <w:r w:rsidR="00B76BF4">
        <w:rPr>
          <w:rStyle w:val="WP9Hyperlink"/>
          <w:rFonts w:asciiTheme="minorHAnsi" w:hAnsiTheme="minorHAnsi"/>
          <w:color w:val="000000"/>
          <w:u w:val="none"/>
        </w:rPr>
        <w:t>202</w:t>
      </w:r>
      <w:r w:rsidR="00641078">
        <w:rPr>
          <w:rStyle w:val="WP9Hyperlink"/>
          <w:rFonts w:asciiTheme="minorHAnsi" w:hAnsiTheme="minorHAnsi"/>
          <w:color w:val="000000"/>
          <w:u w:val="none"/>
        </w:rPr>
        <w:t>3</w:t>
      </w:r>
      <w:r w:rsidR="00E74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reported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for each applicable source are in Appendix A, Table A-1.</w:t>
      </w:r>
    </w:p>
    <w:p w14:paraId="25E21D95" w14:textId="08FE8999" w:rsidR="00EF07AE" w:rsidRPr="00CC6F12" w:rsidRDefault="00EF07AE" w:rsidP="00E15E95">
      <w:pPr>
        <w:pStyle w:val="Caption"/>
        <w:spacing w:after="120"/>
        <w:rPr>
          <w:rFonts w:asciiTheme="minorHAnsi" w:hAnsiTheme="minorHAnsi"/>
        </w:rPr>
      </w:pPr>
      <w:r w:rsidRPr="00A03868">
        <w:rPr>
          <w:rFonts w:asciiTheme="minorHAnsi" w:hAnsiTheme="minorHAnsi"/>
        </w:rPr>
        <w:lastRenderedPageBreak/>
        <w:t xml:space="preserve">Table </w:t>
      </w:r>
      <w:r w:rsidR="00EF5EBF" w:rsidRPr="00A03868">
        <w:rPr>
          <w:rFonts w:asciiTheme="minorHAnsi" w:hAnsiTheme="minorHAnsi"/>
        </w:rPr>
        <w:fldChar w:fldCharType="begin"/>
      </w:r>
      <w:r w:rsidRPr="00A03868">
        <w:rPr>
          <w:rFonts w:asciiTheme="minorHAnsi" w:hAnsiTheme="minorHAnsi"/>
        </w:rPr>
        <w:instrText xml:space="preserve"> SEQ Table \* ARABIC </w:instrText>
      </w:r>
      <w:r w:rsidR="00EF5EBF" w:rsidRPr="00A03868">
        <w:rPr>
          <w:rFonts w:asciiTheme="minorHAnsi" w:hAnsiTheme="minorHAnsi"/>
        </w:rPr>
        <w:fldChar w:fldCharType="separate"/>
      </w:r>
      <w:r w:rsidR="00612D92" w:rsidRPr="00A03868">
        <w:rPr>
          <w:rFonts w:asciiTheme="minorHAnsi" w:hAnsiTheme="minorHAnsi"/>
          <w:noProof/>
        </w:rPr>
        <w:t>1</w:t>
      </w:r>
      <w:r w:rsidR="00EF5EBF" w:rsidRPr="00A03868">
        <w:rPr>
          <w:rFonts w:asciiTheme="minorHAnsi" w:hAnsiTheme="minorHAnsi"/>
        </w:rPr>
        <w:fldChar w:fldCharType="end"/>
      </w:r>
      <w:r w:rsidRPr="00A03868">
        <w:rPr>
          <w:rFonts w:asciiTheme="minorHAnsi" w:hAnsiTheme="minorHAnsi"/>
        </w:rPr>
        <w:t>.</w:t>
      </w:r>
      <w:r w:rsidR="00BB5AF4" w:rsidRPr="00A03868">
        <w:rPr>
          <w:rFonts w:asciiTheme="minorHAnsi" w:hAnsiTheme="minorHAnsi"/>
        </w:rPr>
        <w:t xml:space="preserve"> </w:t>
      </w:r>
      <w:r w:rsidRPr="00A03868">
        <w:rPr>
          <w:rFonts w:asciiTheme="minorHAnsi" w:hAnsiTheme="minorHAnsi"/>
        </w:rPr>
        <w:t xml:space="preserve">Reported </w:t>
      </w:r>
      <w:r w:rsidR="00B76BF4" w:rsidRPr="00A03868">
        <w:rPr>
          <w:rFonts w:asciiTheme="minorHAnsi" w:hAnsiTheme="minorHAnsi"/>
        </w:rPr>
        <w:t>202</w:t>
      </w:r>
      <w:r w:rsidR="002B60AB" w:rsidRPr="00A03868">
        <w:rPr>
          <w:rFonts w:asciiTheme="minorHAnsi" w:hAnsiTheme="minorHAnsi"/>
        </w:rPr>
        <w:t>3</w:t>
      </w:r>
      <w:r w:rsidRPr="00A03868">
        <w:rPr>
          <w:rFonts w:asciiTheme="minorHAnsi" w:hAnsiTheme="minorHAnsi"/>
        </w:rPr>
        <w:t xml:space="preserve"> SO</w:t>
      </w:r>
      <w:r w:rsidRPr="00A03868">
        <w:rPr>
          <w:rFonts w:asciiTheme="minorHAnsi" w:hAnsiTheme="minorHAnsi"/>
          <w:vertAlign w:val="subscript"/>
        </w:rPr>
        <w:t>2</w:t>
      </w:r>
      <w:r w:rsidRPr="00A03868">
        <w:rPr>
          <w:rFonts w:asciiTheme="minorHAnsi" w:hAnsiTheme="minorHAnsi"/>
        </w:rPr>
        <w:t xml:space="preserve"> Emissions by State</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4680"/>
        <w:gridCol w:w="4680"/>
      </w:tblGrid>
      <w:tr w:rsidR="0099781D" w:rsidRPr="00F226D3" w14:paraId="51FA368B" w14:textId="77777777" w:rsidTr="00EF4B48">
        <w:trPr>
          <w:cantSplit/>
          <w:jc w:val="center"/>
        </w:trPr>
        <w:tc>
          <w:tcPr>
            <w:tcW w:w="4680" w:type="dxa"/>
            <w:shd w:val="clear" w:color="auto" w:fill="ECECEC"/>
            <w:vAlign w:val="bottom"/>
          </w:tcPr>
          <w:p w14:paraId="6E95A07D" w14:textId="77777777" w:rsidR="0099781D" w:rsidRPr="00E21CD7" w:rsidRDefault="0099781D">
            <w:pPr>
              <w:jc w:val="center"/>
              <w:rPr>
                <w:rFonts w:asciiTheme="majorHAnsi" w:hAnsiTheme="majorHAnsi" w:cstheme="majorHAnsi"/>
                <w:b/>
                <w:sz w:val="20"/>
              </w:rPr>
            </w:pPr>
            <w:r w:rsidRPr="00E21CD7">
              <w:rPr>
                <w:rFonts w:asciiTheme="majorHAnsi" w:hAnsiTheme="majorHAnsi" w:cstheme="majorHAnsi"/>
                <w:b/>
                <w:sz w:val="20"/>
              </w:rPr>
              <w:t>State</w:t>
            </w:r>
          </w:p>
        </w:tc>
        <w:tc>
          <w:tcPr>
            <w:tcW w:w="4680" w:type="dxa"/>
            <w:shd w:val="clear" w:color="auto" w:fill="ECECEC"/>
            <w:vAlign w:val="bottom"/>
          </w:tcPr>
          <w:p w14:paraId="7D3AC08F" w14:textId="3A3D8E60" w:rsidR="0099781D" w:rsidRPr="00E21CD7" w:rsidRDefault="0099781D" w:rsidP="00FD4AA9">
            <w:pPr>
              <w:jc w:val="center"/>
              <w:rPr>
                <w:rFonts w:asciiTheme="majorHAnsi" w:hAnsiTheme="majorHAnsi" w:cstheme="majorHAnsi"/>
                <w:b/>
                <w:sz w:val="20"/>
              </w:rPr>
            </w:pPr>
            <w:r w:rsidRPr="00E21CD7">
              <w:rPr>
                <w:rFonts w:asciiTheme="majorHAnsi" w:hAnsiTheme="majorHAnsi" w:cstheme="majorHAnsi"/>
                <w:b/>
                <w:sz w:val="20"/>
              </w:rPr>
              <w:t xml:space="preserve">Reported </w:t>
            </w:r>
            <w:r w:rsidR="00B76BF4">
              <w:rPr>
                <w:rFonts w:asciiTheme="majorHAnsi" w:hAnsiTheme="majorHAnsi" w:cstheme="majorHAnsi"/>
                <w:b/>
                <w:sz w:val="20"/>
              </w:rPr>
              <w:t>202</w:t>
            </w:r>
            <w:r w:rsidR="002B60AB">
              <w:rPr>
                <w:rFonts w:asciiTheme="majorHAnsi" w:hAnsiTheme="majorHAnsi" w:cstheme="majorHAnsi"/>
                <w:b/>
                <w:sz w:val="20"/>
              </w:rPr>
              <w:t>3</w:t>
            </w:r>
            <w:r w:rsidR="00E74D4E" w:rsidRPr="00E21CD7">
              <w:rPr>
                <w:rFonts w:asciiTheme="majorHAnsi" w:hAnsiTheme="majorHAnsi" w:cstheme="majorHAnsi"/>
                <w:b/>
                <w:sz w:val="20"/>
              </w:rPr>
              <w:t xml:space="preserve"> </w:t>
            </w:r>
            <w:r w:rsidRPr="00E21CD7">
              <w:rPr>
                <w:rFonts w:asciiTheme="majorHAnsi" w:hAnsiTheme="majorHAnsi" w:cstheme="majorHAnsi"/>
                <w:b/>
                <w:sz w:val="20"/>
              </w:rPr>
              <w:t>SO</w:t>
            </w:r>
            <w:r w:rsidRPr="00E21CD7">
              <w:rPr>
                <w:rFonts w:asciiTheme="majorHAnsi" w:hAnsiTheme="majorHAnsi" w:cstheme="majorHAnsi"/>
                <w:b/>
                <w:sz w:val="20"/>
                <w:vertAlign w:val="subscript"/>
              </w:rPr>
              <w:t>2</w:t>
            </w:r>
            <w:r w:rsidRPr="00E21CD7">
              <w:rPr>
                <w:rFonts w:asciiTheme="majorHAnsi" w:hAnsiTheme="majorHAnsi" w:cstheme="majorHAnsi"/>
                <w:b/>
                <w:sz w:val="20"/>
              </w:rPr>
              <w:t xml:space="preserve"> Emissions (tons/year)</w:t>
            </w:r>
          </w:p>
        </w:tc>
      </w:tr>
      <w:tr w:rsidR="00473F4E" w:rsidRPr="00F226D3" w14:paraId="654C6D47" w14:textId="77777777">
        <w:trPr>
          <w:cantSplit/>
          <w:jc w:val="center"/>
        </w:trPr>
        <w:tc>
          <w:tcPr>
            <w:tcW w:w="4680" w:type="dxa"/>
          </w:tcPr>
          <w:p w14:paraId="43279B57" w14:textId="40092638" w:rsidR="00473F4E" w:rsidRPr="00F226D3" w:rsidRDefault="00473F4E">
            <w:pPr>
              <w:rPr>
                <w:rFonts w:asciiTheme="majorHAnsi" w:hAnsiTheme="majorHAnsi" w:cstheme="majorHAnsi"/>
                <w:sz w:val="20"/>
              </w:rPr>
            </w:pPr>
            <w:r>
              <w:rPr>
                <w:rFonts w:asciiTheme="majorHAnsi" w:hAnsiTheme="majorHAnsi" w:cstheme="majorHAnsi"/>
                <w:sz w:val="20"/>
              </w:rPr>
              <w:t>Albuquerque-Bernalillo</w:t>
            </w:r>
          </w:p>
        </w:tc>
        <w:tc>
          <w:tcPr>
            <w:tcW w:w="4680" w:type="dxa"/>
          </w:tcPr>
          <w:p w14:paraId="617F221C" w14:textId="10121B99" w:rsidR="00473F4E" w:rsidRPr="00597425" w:rsidRDefault="004319D8" w:rsidP="00FF2052">
            <w:pPr>
              <w:rPr>
                <w:rFonts w:asciiTheme="majorHAnsi" w:hAnsiTheme="majorHAnsi" w:cstheme="majorHAnsi"/>
                <w:sz w:val="20"/>
              </w:rPr>
            </w:pPr>
            <w:r>
              <w:rPr>
                <w:rFonts w:asciiTheme="majorHAnsi" w:hAnsiTheme="majorHAnsi" w:cstheme="majorHAnsi"/>
                <w:sz w:val="20"/>
              </w:rPr>
              <w:t>87</w:t>
            </w:r>
          </w:p>
        </w:tc>
      </w:tr>
      <w:tr w:rsidR="0099781D" w:rsidRPr="00F226D3" w14:paraId="21ED1AF7" w14:textId="77777777">
        <w:trPr>
          <w:cantSplit/>
          <w:jc w:val="center"/>
        </w:trPr>
        <w:tc>
          <w:tcPr>
            <w:tcW w:w="4680" w:type="dxa"/>
          </w:tcPr>
          <w:p w14:paraId="070B516F"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New Mexico</w:t>
            </w:r>
          </w:p>
        </w:tc>
        <w:tc>
          <w:tcPr>
            <w:tcW w:w="4680" w:type="dxa"/>
          </w:tcPr>
          <w:p w14:paraId="583FC81E" w14:textId="5AA40707" w:rsidR="0099781D" w:rsidRPr="00597425" w:rsidRDefault="004319D8" w:rsidP="00FF2052">
            <w:pPr>
              <w:rPr>
                <w:rFonts w:asciiTheme="majorHAnsi" w:hAnsiTheme="majorHAnsi" w:cstheme="majorHAnsi"/>
                <w:sz w:val="20"/>
              </w:rPr>
            </w:pPr>
            <w:r>
              <w:rPr>
                <w:rFonts w:asciiTheme="majorHAnsi" w:hAnsiTheme="majorHAnsi" w:cstheme="majorHAnsi"/>
                <w:sz w:val="20"/>
              </w:rPr>
              <w:t>905</w:t>
            </w:r>
          </w:p>
        </w:tc>
      </w:tr>
      <w:tr w:rsidR="0099781D" w:rsidRPr="00F226D3" w14:paraId="227E8E43" w14:textId="77777777">
        <w:trPr>
          <w:cantSplit/>
          <w:jc w:val="center"/>
        </w:trPr>
        <w:tc>
          <w:tcPr>
            <w:tcW w:w="4680" w:type="dxa"/>
          </w:tcPr>
          <w:p w14:paraId="20303712"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Utah</w:t>
            </w:r>
          </w:p>
        </w:tc>
        <w:tc>
          <w:tcPr>
            <w:tcW w:w="4680" w:type="dxa"/>
          </w:tcPr>
          <w:p w14:paraId="74BD6FFF" w14:textId="6069FFF9" w:rsidR="00304B36" w:rsidRPr="00597425" w:rsidRDefault="004319D8">
            <w:pPr>
              <w:rPr>
                <w:rFonts w:asciiTheme="majorHAnsi" w:hAnsiTheme="majorHAnsi" w:cstheme="majorHAnsi"/>
                <w:sz w:val="20"/>
              </w:rPr>
            </w:pPr>
            <w:r>
              <w:rPr>
                <w:rFonts w:asciiTheme="majorHAnsi" w:hAnsiTheme="majorHAnsi" w:cstheme="majorHAnsi"/>
                <w:sz w:val="20"/>
              </w:rPr>
              <w:t>5,046</w:t>
            </w:r>
          </w:p>
        </w:tc>
      </w:tr>
      <w:tr w:rsidR="0099781D" w:rsidRPr="00F226D3" w14:paraId="2DAE34B2" w14:textId="77777777">
        <w:trPr>
          <w:cantSplit/>
          <w:jc w:val="center"/>
        </w:trPr>
        <w:tc>
          <w:tcPr>
            <w:tcW w:w="4680" w:type="dxa"/>
          </w:tcPr>
          <w:p w14:paraId="6C24674B"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Wyoming</w:t>
            </w:r>
          </w:p>
        </w:tc>
        <w:tc>
          <w:tcPr>
            <w:tcW w:w="4680" w:type="dxa"/>
          </w:tcPr>
          <w:p w14:paraId="4B9BA8F9" w14:textId="351EB976" w:rsidR="0099781D" w:rsidRPr="00597425" w:rsidRDefault="0017056D">
            <w:pPr>
              <w:rPr>
                <w:rFonts w:asciiTheme="majorHAnsi" w:hAnsiTheme="majorHAnsi" w:cstheme="majorHAnsi"/>
                <w:sz w:val="20"/>
              </w:rPr>
            </w:pPr>
            <w:r>
              <w:rPr>
                <w:rFonts w:asciiTheme="majorHAnsi" w:hAnsiTheme="majorHAnsi" w:cstheme="majorHAnsi"/>
                <w:sz w:val="20"/>
              </w:rPr>
              <w:t>3</w:t>
            </w:r>
            <w:r w:rsidR="004319D8">
              <w:rPr>
                <w:rFonts w:asciiTheme="majorHAnsi" w:hAnsiTheme="majorHAnsi" w:cstheme="majorHAnsi"/>
                <w:sz w:val="20"/>
              </w:rPr>
              <w:t>5</w:t>
            </w:r>
            <w:r>
              <w:rPr>
                <w:rFonts w:asciiTheme="majorHAnsi" w:hAnsiTheme="majorHAnsi" w:cstheme="majorHAnsi"/>
                <w:sz w:val="20"/>
              </w:rPr>
              <w:t>,</w:t>
            </w:r>
            <w:r w:rsidR="004319D8">
              <w:rPr>
                <w:rFonts w:asciiTheme="majorHAnsi" w:hAnsiTheme="majorHAnsi" w:cstheme="majorHAnsi"/>
                <w:sz w:val="20"/>
              </w:rPr>
              <w:t>382</w:t>
            </w:r>
          </w:p>
        </w:tc>
      </w:tr>
      <w:tr w:rsidR="0099781D" w:rsidRPr="00F226D3" w14:paraId="400D9D93" w14:textId="77777777">
        <w:trPr>
          <w:cantSplit/>
          <w:jc w:val="center"/>
        </w:trPr>
        <w:tc>
          <w:tcPr>
            <w:tcW w:w="4680" w:type="dxa"/>
          </w:tcPr>
          <w:p w14:paraId="0F285B25" w14:textId="77777777" w:rsidR="0099781D" w:rsidRPr="00F226D3" w:rsidRDefault="0099781D">
            <w:pPr>
              <w:rPr>
                <w:rFonts w:asciiTheme="majorHAnsi" w:hAnsiTheme="majorHAnsi" w:cstheme="majorHAnsi"/>
                <w:sz w:val="20"/>
              </w:rPr>
            </w:pPr>
            <w:r w:rsidRPr="00F226D3">
              <w:rPr>
                <w:rFonts w:asciiTheme="majorHAnsi" w:hAnsiTheme="majorHAnsi" w:cstheme="majorHAnsi"/>
                <w:sz w:val="20"/>
              </w:rPr>
              <w:t>TOTAL</w:t>
            </w:r>
          </w:p>
        </w:tc>
        <w:tc>
          <w:tcPr>
            <w:tcW w:w="4680" w:type="dxa"/>
          </w:tcPr>
          <w:p w14:paraId="1A3D630D" w14:textId="0D89FC19" w:rsidR="0099781D" w:rsidRPr="00597425" w:rsidRDefault="004319D8" w:rsidP="00FF2052">
            <w:pPr>
              <w:rPr>
                <w:rFonts w:asciiTheme="majorHAnsi" w:hAnsiTheme="majorHAnsi" w:cstheme="majorHAnsi"/>
                <w:sz w:val="20"/>
              </w:rPr>
            </w:pPr>
            <w:r>
              <w:rPr>
                <w:rFonts w:asciiTheme="majorHAnsi" w:hAnsiTheme="majorHAnsi" w:cstheme="majorHAnsi"/>
                <w:sz w:val="20"/>
              </w:rPr>
              <w:t>41,420</w:t>
            </w:r>
          </w:p>
        </w:tc>
      </w:tr>
    </w:tbl>
    <w:p w14:paraId="165AD3B2" w14:textId="177F8966" w:rsidR="00664B9D" w:rsidRDefault="0099781D" w:rsidP="00473F4E">
      <w:pPr>
        <w:pStyle w:val="Heading2"/>
        <w:rPr>
          <w:rStyle w:val="WP9Hyperlink"/>
          <w:b w:val="0"/>
          <w:color w:val="000000"/>
          <w:szCs w:val="24"/>
          <w:u w:val="none"/>
        </w:rPr>
      </w:pPr>
      <w:r w:rsidRPr="00E46206">
        <w:rPr>
          <w:rStyle w:val="WP9Hyperlink"/>
          <w:b w:val="0"/>
          <w:color w:val="000000"/>
          <w:szCs w:val="24"/>
          <w:u w:val="none"/>
        </w:rPr>
        <w:t>3.0</w:t>
      </w:r>
      <w:r w:rsidR="007B10BE" w:rsidRPr="00E46206">
        <w:rPr>
          <w:rStyle w:val="WP9Hyperlink"/>
          <w:b w:val="0"/>
          <w:color w:val="000000"/>
          <w:szCs w:val="24"/>
          <w:u w:val="none"/>
        </w:rPr>
        <w:tab/>
      </w:r>
      <w:r w:rsidR="007E2C9A" w:rsidRPr="00E46206">
        <w:rPr>
          <w:rStyle w:val="WP9Hyperlink"/>
          <w:b w:val="0"/>
          <w:color w:val="000000"/>
          <w:szCs w:val="24"/>
          <w:u w:val="none"/>
        </w:rPr>
        <w:t>Emissions Adjustments Related to Monitoring Methodology</w:t>
      </w:r>
      <w:r w:rsidR="001D404B">
        <w:rPr>
          <w:rStyle w:val="WP9Hyperlink"/>
          <w:b w:val="0"/>
          <w:color w:val="000000"/>
          <w:szCs w:val="24"/>
          <w:u w:val="none"/>
        </w:rPr>
        <w:t xml:space="preserve"> or Enforcement Actions</w:t>
      </w:r>
    </w:p>
    <w:p w14:paraId="25ABD247" w14:textId="138ED992" w:rsidR="00664B9D" w:rsidRDefault="0099781D" w:rsidP="003E61D7">
      <w:pPr>
        <w:spacing w:before="120"/>
        <w:rPr>
          <w:rStyle w:val="WP9Hyperlink"/>
          <w:rFonts w:asciiTheme="minorHAnsi" w:hAnsiTheme="minorHAnsi"/>
          <w:color w:val="000000"/>
          <w:u w:val="none"/>
        </w:rPr>
      </w:pPr>
      <w:r w:rsidRPr="003E17F1">
        <w:rPr>
          <w:rStyle w:val="WP9Hyperlink"/>
          <w:rFonts w:asciiTheme="minorHAnsi" w:hAnsiTheme="minorHAnsi"/>
          <w:b/>
          <w:color w:val="000000"/>
          <w:u w:val="none"/>
        </w:rPr>
        <w:tab/>
      </w:r>
      <w:r w:rsidRPr="003E17F1">
        <w:rPr>
          <w:rStyle w:val="WP9Hyperlink"/>
          <w:rFonts w:asciiTheme="minorHAnsi" w:hAnsiTheme="minorHAnsi"/>
          <w:color w:val="000000"/>
          <w:u w:val="none"/>
        </w:rPr>
        <w:t>The annual emissions reports for each state include proposed emissions adjustments to ensure consistent comparison of emissions to the milestone.</w:t>
      </w:r>
      <w:r w:rsidR="00BB5AF4" w:rsidRPr="003E17F1">
        <w:rPr>
          <w:rStyle w:val="WP9Hyperlink"/>
          <w:rFonts w:asciiTheme="minorHAnsi" w:hAnsiTheme="minorHAnsi"/>
          <w:color w:val="000000"/>
          <w:u w:val="none"/>
        </w:rPr>
        <w:t xml:space="preserve"> </w:t>
      </w:r>
      <w:r w:rsidR="007A6872">
        <w:rPr>
          <w:rStyle w:val="WP9Hyperlink"/>
          <w:rFonts w:asciiTheme="minorHAnsi" w:hAnsiTheme="minorHAnsi"/>
          <w:color w:val="000000"/>
          <w:u w:val="none"/>
        </w:rPr>
        <w:t>Each state adjusted the reported</w:t>
      </w:r>
      <w:r w:rsidRPr="003E17F1">
        <w:rPr>
          <w:rStyle w:val="WP9Hyperlink"/>
          <w:rFonts w:asciiTheme="minorHAnsi" w:hAnsiTheme="minorHAnsi"/>
          <w:color w:val="000000"/>
          <w:u w:val="none"/>
        </w:rPr>
        <w:t xml:space="preserve"> emissions levels</w:t>
      </w:r>
      <w:r w:rsidR="007A6872">
        <w:rPr>
          <w:rStyle w:val="WP9Hyperlink"/>
          <w:rFonts w:asciiTheme="minorHAnsi" w:hAnsiTheme="minorHAnsi"/>
          <w:color w:val="000000"/>
          <w:u w:val="none"/>
        </w:rPr>
        <w:t xml:space="preserve"> so that they</w:t>
      </w:r>
      <w:r w:rsidRPr="003E17F1">
        <w:rPr>
          <w:rStyle w:val="WP9Hyperlink"/>
          <w:rFonts w:asciiTheme="minorHAnsi" w:hAnsiTheme="minorHAnsi"/>
          <w:color w:val="000000"/>
          <w:u w:val="none"/>
        </w:rPr>
        <w:t xml:space="preserve"> are comparable to the levels that would result if the state used the same emissions monitoring or calculation method used in the base year inventory (20</w:t>
      </w:r>
      <w:r w:rsidRPr="00BC6B4B">
        <w:rPr>
          <w:rStyle w:val="WP9Hyperlink"/>
          <w:rFonts w:asciiTheme="minorHAnsi" w:hAnsiTheme="minorHAnsi"/>
          <w:color w:val="000000"/>
          <w:u w:val="none"/>
        </w:rPr>
        <w:t>06).</w:t>
      </w:r>
      <w:r w:rsidR="00BB5AF4" w:rsidRPr="00BC6B4B">
        <w:rPr>
          <w:rStyle w:val="WP9Hyperlink"/>
          <w:rFonts w:asciiTheme="minorHAnsi" w:hAnsiTheme="minorHAnsi"/>
          <w:color w:val="000000"/>
          <w:u w:val="none"/>
        </w:rPr>
        <w:t xml:space="preserve"> </w:t>
      </w:r>
      <w:r w:rsidRPr="00BC6B4B">
        <w:rPr>
          <w:rStyle w:val="WP9Hyperlink"/>
          <w:rFonts w:asciiTheme="minorHAnsi" w:hAnsiTheme="minorHAnsi"/>
          <w:color w:val="000000"/>
          <w:u w:val="none"/>
        </w:rPr>
        <w:t>The net impact throughout the region</w:t>
      </w:r>
      <w:r w:rsidR="008B0EE2" w:rsidRPr="00BC6B4B">
        <w:rPr>
          <w:rStyle w:val="WP9Hyperlink"/>
          <w:rFonts w:asciiTheme="minorHAnsi" w:hAnsiTheme="minorHAnsi"/>
          <w:color w:val="000000"/>
          <w:u w:val="none"/>
        </w:rPr>
        <w:t>,</w:t>
      </w:r>
      <w:r w:rsidRPr="00BC6B4B">
        <w:rPr>
          <w:rStyle w:val="WP9Hyperlink"/>
          <w:rFonts w:asciiTheme="minorHAnsi" w:hAnsiTheme="minorHAnsi"/>
          <w:color w:val="000000"/>
          <w:u w:val="none"/>
        </w:rPr>
        <w:t xml:space="preserve"> </w:t>
      </w:r>
      <w:r w:rsidR="008B0EE2" w:rsidRPr="00BC6B4B">
        <w:rPr>
          <w:rStyle w:val="WP9Hyperlink"/>
          <w:rFonts w:asciiTheme="minorHAnsi" w:hAnsiTheme="minorHAnsi"/>
          <w:color w:val="000000"/>
          <w:u w:val="none"/>
        </w:rPr>
        <w:t>because</w:t>
      </w:r>
      <w:r w:rsidRPr="00BC6B4B">
        <w:rPr>
          <w:rStyle w:val="WP9Hyperlink"/>
          <w:rFonts w:asciiTheme="minorHAnsi" w:hAnsiTheme="minorHAnsi"/>
          <w:color w:val="000000"/>
          <w:u w:val="none"/>
        </w:rPr>
        <w:t xml:space="preserve"> of adjustments</w:t>
      </w:r>
      <w:r w:rsidR="00903CE4">
        <w:rPr>
          <w:rStyle w:val="WP9Hyperlink"/>
          <w:rFonts w:asciiTheme="minorHAnsi" w:hAnsiTheme="minorHAnsi"/>
          <w:color w:val="000000"/>
          <w:u w:val="none"/>
        </w:rPr>
        <w:t xml:space="preserve"> related to the monitoring methodology</w:t>
      </w:r>
      <w:r w:rsidR="008B0EE2" w:rsidRPr="00BC6B4B">
        <w:rPr>
          <w:rStyle w:val="WP9Hyperlink"/>
          <w:rFonts w:asciiTheme="minorHAnsi" w:hAnsiTheme="minorHAnsi"/>
          <w:color w:val="000000"/>
          <w:u w:val="none"/>
        </w:rPr>
        <w:t>,</w:t>
      </w:r>
      <w:r w:rsidRPr="00BC6B4B">
        <w:rPr>
          <w:rStyle w:val="WP9Hyperlink"/>
          <w:rFonts w:asciiTheme="minorHAnsi" w:hAnsiTheme="minorHAnsi"/>
          <w:color w:val="000000"/>
          <w:u w:val="none"/>
        </w:rPr>
        <w:t xml:space="preserve"> is an </w:t>
      </w:r>
      <w:r w:rsidRPr="0017056D">
        <w:rPr>
          <w:rStyle w:val="WP9Hyperlink"/>
          <w:rFonts w:asciiTheme="minorHAnsi" w:hAnsiTheme="minorHAnsi"/>
          <w:color w:val="000000"/>
          <w:u w:val="none"/>
        </w:rPr>
        <w:t xml:space="preserve">increase of </w:t>
      </w:r>
      <w:r w:rsidR="00597425" w:rsidRPr="00B56624">
        <w:rPr>
          <w:rStyle w:val="WP9Hyperlink"/>
          <w:rFonts w:asciiTheme="minorHAnsi" w:hAnsiTheme="minorHAnsi"/>
          <w:color w:val="000000"/>
          <w:u w:val="none"/>
        </w:rPr>
        <w:t>1,</w:t>
      </w:r>
      <w:r w:rsidR="0017056D" w:rsidRPr="00B56624">
        <w:rPr>
          <w:rStyle w:val="WP9Hyperlink"/>
          <w:rFonts w:asciiTheme="minorHAnsi" w:hAnsiTheme="minorHAnsi"/>
          <w:color w:val="000000"/>
          <w:u w:val="none"/>
        </w:rPr>
        <w:t>3</w:t>
      </w:r>
      <w:r w:rsidR="008203B7">
        <w:rPr>
          <w:rStyle w:val="WP9Hyperlink"/>
          <w:rFonts w:asciiTheme="minorHAnsi" w:hAnsiTheme="minorHAnsi"/>
          <w:color w:val="000000"/>
          <w:u w:val="none"/>
        </w:rPr>
        <w:t>42</w:t>
      </w:r>
      <w:r w:rsidR="00B020C6" w:rsidRPr="00B56624">
        <w:rPr>
          <w:rStyle w:val="WP9Hyperlink"/>
          <w:rFonts w:asciiTheme="minorHAnsi" w:hAnsiTheme="minorHAnsi"/>
          <w:color w:val="000000"/>
          <w:u w:val="none"/>
        </w:rPr>
        <w:t xml:space="preserve"> </w:t>
      </w:r>
      <w:r w:rsidRPr="00B56624">
        <w:rPr>
          <w:rStyle w:val="WP9Hyperlink"/>
          <w:rFonts w:asciiTheme="minorHAnsi" w:hAnsiTheme="minorHAnsi"/>
          <w:color w:val="000000"/>
          <w:u w:val="none"/>
        </w:rPr>
        <w:t>tons</w:t>
      </w:r>
      <w:r w:rsidRPr="00BC6B4B">
        <w:rPr>
          <w:rStyle w:val="WP9Hyperlink"/>
          <w:rFonts w:asciiTheme="minorHAnsi" w:hAnsiTheme="minorHAnsi"/>
          <w:color w:val="000000"/>
          <w:u w:val="none"/>
        </w:rPr>
        <w:t xml:space="preserve"> from the reported </w:t>
      </w:r>
      <w:r w:rsidR="00B76BF4">
        <w:rPr>
          <w:rStyle w:val="WP9Hyperlink"/>
          <w:rFonts w:asciiTheme="minorHAnsi" w:hAnsiTheme="minorHAnsi"/>
          <w:color w:val="000000"/>
          <w:u w:val="none"/>
        </w:rPr>
        <w:t>202</w:t>
      </w:r>
      <w:r w:rsidR="00735D13">
        <w:rPr>
          <w:rStyle w:val="WP9Hyperlink"/>
          <w:rFonts w:asciiTheme="minorHAnsi" w:hAnsiTheme="minorHAnsi"/>
          <w:color w:val="000000"/>
          <w:u w:val="none"/>
        </w:rPr>
        <w:t>3</w:t>
      </w:r>
      <w:r w:rsidR="00E74D4E" w:rsidRPr="00BC6B4B">
        <w:rPr>
          <w:rStyle w:val="WP9Hyperlink"/>
          <w:rFonts w:asciiTheme="minorHAnsi" w:hAnsiTheme="minorHAnsi"/>
          <w:color w:val="000000"/>
          <w:u w:val="none"/>
        </w:rPr>
        <w:t xml:space="preserve"> </w:t>
      </w:r>
      <w:r w:rsidRPr="00BC6B4B">
        <w:rPr>
          <w:rStyle w:val="WP9Hyperlink"/>
          <w:rFonts w:asciiTheme="minorHAnsi" w:hAnsiTheme="minorHAnsi"/>
          <w:color w:val="000000"/>
          <w:u w:val="none"/>
        </w:rPr>
        <w:t>emissions.</w:t>
      </w:r>
    </w:p>
    <w:p w14:paraId="26E190F7" w14:textId="49344799" w:rsidR="009A5942" w:rsidRDefault="009A5942" w:rsidP="00664B9D">
      <w:pPr>
        <w:spacing w:before="200"/>
        <w:rPr>
          <w:rStyle w:val="WP9Hyperlink"/>
          <w:rFonts w:asciiTheme="minorHAnsi" w:hAnsiTheme="minorHAnsi"/>
          <w:color w:val="000000"/>
          <w:u w:val="none"/>
        </w:rPr>
      </w:pPr>
      <w:r>
        <w:rPr>
          <w:rStyle w:val="WP9Hyperlink"/>
          <w:rFonts w:asciiTheme="minorHAnsi" w:hAnsiTheme="minorHAnsi"/>
          <w:color w:val="000000"/>
          <w:u w:val="none"/>
        </w:rPr>
        <w:t xml:space="preserve">Utah </w:t>
      </w:r>
      <w:r w:rsidR="00903CE4">
        <w:rPr>
          <w:rStyle w:val="WP9Hyperlink"/>
          <w:rFonts w:asciiTheme="minorHAnsi" w:hAnsiTheme="minorHAnsi"/>
          <w:color w:val="000000"/>
          <w:u w:val="none"/>
        </w:rPr>
        <w:t xml:space="preserve">adjusted the </w:t>
      </w:r>
      <w:r>
        <w:rPr>
          <w:rStyle w:val="WP9Hyperlink"/>
          <w:rFonts w:asciiTheme="minorHAnsi" w:hAnsiTheme="minorHAnsi"/>
          <w:color w:val="000000"/>
          <w:u w:val="none"/>
        </w:rPr>
        <w:t>emissions from the Carbon Power Plan</w:t>
      </w:r>
      <w:r w:rsidR="004F608E">
        <w:rPr>
          <w:rStyle w:val="WP9Hyperlink"/>
          <w:rFonts w:asciiTheme="minorHAnsi" w:hAnsiTheme="minorHAnsi"/>
          <w:color w:val="000000"/>
          <w:u w:val="none"/>
        </w:rPr>
        <w:t>t</w:t>
      </w:r>
      <w:r>
        <w:rPr>
          <w:rStyle w:val="WP9Hyperlink"/>
          <w:rFonts w:asciiTheme="minorHAnsi" w:hAnsiTheme="minorHAnsi"/>
          <w:color w:val="000000"/>
          <w:u w:val="none"/>
        </w:rPr>
        <w:t xml:space="preserve"> due to an enforcement action. As part of Utah’s BART </w:t>
      </w:r>
      <w:r w:rsidR="00FD4AA9">
        <w:rPr>
          <w:rStyle w:val="WP9Hyperlink"/>
          <w:rFonts w:asciiTheme="minorHAnsi" w:hAnsiTheme="minorHAnsi"/>
          <w:color w:val="000000"/>
          <w:u w:val="none"/>
        </w:rPr>
        <w:t xml:space="preserve">alternative </w:t>
      </w:r>
      <w:r>
        <w:rPr>
          <w:rStyle w:val="WP9Hyperlink"/>
          <w:rFonts w:asciiTheme="minorHAnsi" w:hAnsiTheme="minorHAnsi"/>
          <w:color w:val="000000"/>
          <w:u w:val="none"/>
        </w:rPr>
        <w:t>for NO</w:t>
      </w:r>
      <w:r w:rsidRPr="00FD4AA9">
        <w:rPr>
          <w:rStyle w:val="WP9Hyperlink"/>
          <w:rFonts w:asciiTheme="minorHAnsi" w:hAnsiTheme="minorHAnsi"/>
          <w:color w:val="000000"/>
          <w:u w:val="none"/>
          <w:vertAlign w:val="subscript"/>
        </w:rPr>
        <w:t>x</w:t>
      </w:r>
      <w:r>
        <w:rPr>
          <w:rStyle w:val="WP9Hyperlink"/>
          <w:rFonts w:asciiTheme="minorHAnsi" w:hAnsiTheme="minorHAnsi"/>
          <w:color w:val="000000"/>
          <w:u w:val="none"/>
        </w:rPr>
        <w:t>, they required that the Carbon Power Plant shut down. Though there is an actual emissions reduction of 8,005 tons of SO</w:t>
      </w:r>
      <w:r w:rsidRPr="009A5942">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per year, the Utah Air Quality Board approved a Commitment SIP stating that the emissions reductions from the closure will not be counted for both the SO</w:t>
      </w:r>
      <w:r w:rsidRPr="00FD4AA9">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Milestone program and the BART</w:t>
      </w:r>
      <w:r w:rsidR="00FD4AA9">
        <w:rPr>
          <w:rStyle w:val="WP9Hyperlink"/>
          <w:rFonts w:asciiTheme="minorHAnsi" w:hAnsiTheme="minorHAnsi"/>
          <w:color w:val="000000"/>
          <w:u w:val="none"/>
        </w:rPr>
        <w:t xml:space="preserve"> alternative</w:t>
      </w:r>
      <w:r>
        <w:rPr>
          <w:rStyle w:val="WP9Hyperlink"/>
          <w:rFonts w:asciiTheme="minorHAnsi" w:hAnsiTheme="minorHAnsi"/>
          <w:color w:val="000000"/>
          <w:u w:val="none"/>
        </w:rPr>
        <w:t xml:space="preserve"> controls. Therefore, an additional 8,005 tons of SO</w:t>
      </w:r>
      <w:r w:rsidRPr="00FD4AA9">
        <w:rPr>
          <w:rStyle w:val="WP9Hyperlink"/>
          <w:rFonts w:asciiTheme="minorHAnsi" w:hAnsiTheme="minorHAnsi"/>
          <w:color w:val="000000"/>
          <w:u w:val="none"/>
          <w:vertAlign w:val="subscript"/>
        </w:rPr>
        <w:t>2</w:t>
      </w:r>
      <w:r>
        <w:rPr>
          <w:rStyle w:val="WP9Hyperlink"/>
          <w:rFonts w:asciiTheme="minorHAnsi" w:hAnsiTheme="minorHAnsi"/>
          <w:color w:val="000000"/>
          <w:u w:val="none"/>
        </w:rPr>
        <w:t xml:space="preserve"> are included in the calculations for this milestone report. </w:t>
      </w:r>
      <w:r w:rsidR="0099781D" w:rsidRPr="00BC6B4B">
        <w:rPr>
          <w:rStyle w:val="WP9Hyperlink"/>
          <w:rFonts w:asciiTheme="minorHAnsi" w:hAnsiTheme="minorHAnsi"/>
          <w:color w:val="000000"/>
          <w:u w:val="none"/>
        </w:rPr>
        <w:t xml:space="preserve">Table </w:t>
      </w:r>
      <w:r w:rsidR="00834A4A">
        <w:rPr>
          <w:rStyle w:val="WP9Hyperlink"/>
          <w:rFonts w:asciiTheme="minorHAnsi" w:hAnsiTheme="minorHAnsi"/>
          <w:color w:val="000000"/>
          <w:u w:val="none"/>
        </w:rPr>
        <w:t>2</w:t>
      </w:r>
      <w:r w:rsidR="0099781D" w:rsidRPr="00BC6B4B">
        <w:rPr>
          <w:rStyle w:val="WP9Hyperlink"/>
          <w:rFonts w:asciiTheme="minorHAnsi" w:hAnsiTheme="minorHAnsi"/>
          <w:color w:val="000000"/>
          <w:u w:val="none"/>
        </w:rPr>
        <w:t xml:space="preserve"> summarizes the</w:t>
      </w:r>
      <w:r w:rsidR="008B0EE2" w:rsidRPr="00BC6B4B">
        <w:rPr>
          <w:rStyle w:val="WP9Hyperlink"/>
          <w:rFonts w:asciiTheme="minorHAnsi" w:hAnsiTheme="minorHAnsi"/>
          <w:color w:val="000000"/>
          <w:u w:val="none"/>
        </w:rPr>
        <w:t xml:space="preserve"> emissions adjustments ma</w:t>
      </w:r>
      <w:r w:rsidR="008B0EE2" w:rsidRPr="003E17F1">
        <w:rPr>
          <w:rStyle w:val="WP9Hyperlink"/>
          <w:rFonts w:asciiTheme="minorHAnsi" w:hAnsiTheme="minorHAnsi"/>
          <w:color w:val="000000"/>
          <w:u w:val="none"/>
        </w:rPr>
        <w:t>de for</w:t>
      </w:r>
      <w:r>
        <w:rPr>
          <w:rStyle w:val="WP9Hyperlink"/>
          <w:rFonts w:asciiTheme="minorHAnsi" w:hAnsiTheme="minorHAnsi"/>
          <w:color w:val="000000"/>
          <w:u w:val="none"/>
        </w:rPr>
        <w:t xml:space="preserve"> c</w:t>
      </w:r>
      <w:r>
        <w:rPr>
          <w:rFonts w:asciiTheme="minorHAnsi" w:hAnsiTheme="minorHAnsi"/>
        </w:rPr>
        <w:t>hanges in m</w:t>
      </w:r>
      <w:r w:rsidRPr="00395A81">
        <w:rPr>
          <w:rFonts w:asciiTheme="minorHAnsi" w:hAnsiTheme="minorHAnsi"/>
        </w:rPr>
        <w:t xml:space="preserve">onitoring </w:t>
      </w:r>
      <w:r>
        <w:rPr>
          <w:rFonts w:asciiTheme="minorHAnsi" w:hAnsiTheme="minorHAnsi"/>
        </w:rPr>
        <w:t>m</w:t>
      </w:r>
      <w:r w:rsidRPr="00395A81">
        <w:rPr>
          <w:rFonts w:asciiTheme="minorHAnsi" w:hAnsiTheme="minorHAnsi"/>
        </w:rPr>
        <w:t>ethodology</w:t>
      </w:r>
      <w:r>
        <w:rPr>
          <w:rFonts w:asciiTheme="minorHAnsi" w:hAnsiTheme="minorHAnsi"/>
        </w:rPr>
        <w:t xml:space="preserve"> or enforcement actions</w:t>
      </w:r>
      <w:r w:rsidR="00BB5AF4" w:rsidRPr="003E17F1">
        <w:rPr>
          <w:rStyle w:val="WP9Hyperlink"/>
          <w:rFonts w:asciiTheme="minorHAnsi" w:hAnsiTheme="minorHAnsi"/>
          <w:color w:val="000000"/>
          <w:u w:val="none"/>
        </w:rPr>
        <w:t>.</w:t>
      </w:r>
    </w:p>
    <w:p w14:paraId="41689EFE" w14:textId="45D9403F" w:rsidR="004850F3" w:rsidRDefault="004850F3" w:rsidP="00DA065C">
      <w:pPr>
        <w:pStyle w:val="Caption"/>
        <w:spacing w:after="120"/>
        <w:rPr>
          <w:rFonts w:asciiTheme="minorHAnsi" w:hAnsiTheme="minorHAnsi"/>
          <w:highlight w:val="yellow"/>
        </w:rPr>
      </w:pPr>
    </w:p>
    <w:p w14:paraId="3A8294C4" w14:textId="3E9201EA" w:rsidR="001E39EB" w:rsidRDefault="001E39EB" w:rsidP="001E39EB">
      <w:pPr>
        <w:rPr>
          <w:highlight w:val="yellow"/>
        </w:rPr>
      </w:pPr>
    </w:p>
    <w:p w14:paraId="02603844" w14:textId="405B3C67" w:rsidR="001E39EB" w:rsidRDefault="001E39EB" w:rsidP="001E39EB">
      <w:pPr>
        <w:rPr>
          <w:highlight w:val="yellow"/>
        </w:rPr>
      </w:pPr>
    </w:p>
    <w:p w14:paraId="07292200" w14:textId="7155D8FD" w:rsidR="00D51CC4" w:rsidRDefault="00D51CC4">
      <w:pPr>
        <w:spacing w:line="240" w:lineRule="auto"/>
        <w:rPr>
          <w:highlight w:val="yellow"/>
        </w:rPr>
      </w:pPr>
      <w:r>
        <w:rPr>
          <w:highlight w:val="yellow"/>
        </w:rPr>
        <w:br w:type="page"/>
      </w:r>
    </w:p>
    <w:p w14:paraId="368310B9" w14:textId="6B6FF721" w:rsidR="00EF07AE" w:rsidRPr="00CC6F12" w:rsidRDefault="00EF07AE" w:rsidP="00DA065C">
      <w:pPr>
        <w:pStyle w:val="Caption"/>
        <w:spacing w:after="120"/>
        <w:rPr>
          <w:rFonts w:asciiTheme="minorHAnsi" w:hAnsiTheme="minorHAnsi"/>
        </w:rPr>
      </w:pPr>
      <w:r w:rsidRPr="00301C59">
        <w:rPr>
          <w:rFonts w:asciiTheme="minorHAnsi" w:hAnsiTheme="minorHAnsi"/>
        </w:rPr>
        <w:lastRenderedPageBreak/>
        <w:t xml:space="preserve">Table </w:t>
      </w:r>
      <w:r w:rsidR="00EF5EBF" w:rsidRPr="00301C59">
        <w:rPr>
          <w:rFonts w:asciiTheme="minorHAnsi" w:hAnsiTheme="minorHAnsi"/>
        </w:rPr>
        <w:fldChar w:fldCharType="begin"/>
      </w:r>
      <w:r w:rsidRPr="00301C59">
        <w:rPr>
          <w:rFonts w:asciiTheme="minorHAnsi" w:hAnsiTheme="minorHAnsi"/>
        </w:rPr>
        <w:instrText xml:space="preserve"> SEQ Table \* ARABIC </w:instrText>
      </w:r>
      <w:r w:rsidR="00EF5EBF" w:rsidRPr="00301C59">
        <w:rPr>
          <w:rFonts w:asciiTheme="minorHAnsi" w:hAnsiTheme="minorHAnsi"/>
        </w:rPr>
        <w:fldChar w:fldCharType="separate"/>
      </w:r>
      <w:r w:rsidR="00834A4A" w:rsidRPr="00301C59">
        <w:rPr>
          <w:rFonts w:asciiTheme="minorHAnsi" w:hAnsiTheme="minorHAnsi"/>
          <w:noProof/>
        </w:rPr>
        <w:t>2</w:t>
      </w:r>
      <w:r w:rsidR="00EF5EBF" w:rsidRPr="00301C59">
        <w:rPr>
          <w:rFonts w:asciiTheme="minorHAnsi" w:hAnsiTheme="minorHAnsi"/>
        </w:rPr>
        <w:fldChar w:fldCharType="end"/>
      </w:r>
      <w:r w:rsidRPr="00301C59">
        <w:rPr>
          <w:rFonts w:asciiTheme="minorHAnsi" w:hAnsiTheme="minorHAnsi"/>
        </w:rPr>
        <w:t>.</w:t>
      </w:r>
      <w:r w:rsidR="00BB5AF4" w:rsidRPr="00301C59">
        <w:rPr>
          <w:rFonts w:asciiTheme="minorHAnsi" w:hAnsiTheme="minorHAnsi"/>
        </w:rPr>
        <w:t xml:space="preserve"> </w:t>
      </w:r>
      <w:r w:rsidRPr="00301C59">
        <w:rPr>
          <w:rFonts w:asciiTheme="minorHAnsi" w:hAnsiTheme="minorHAnsi"/>
        </w:rPr>
        <w:t>Adjustments for Changes in Monitoring Methodology</w:t>
      </w:r>
      <w:r w:rsidR="001D404B" w:rsidRPr="00301C59">
        <w:rPr>
          <w:rFonts w:asciiTheme="minorHAnsi" w:hAnsiTheme="minorHAnsi"/>
        </w:rPr>
        <w:t xml:space="preserve"> or Enforcement Actions</w:t>
      </w:r>
    </w:p>
    <w:tbl>
      <w:tblPr>
        <w:tblpPr w:leftFromText="180" w:rightFromText="180" w:vertAnchor="page" w:horzAnchor="margin" w:tblpY="189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72" w:type="dxa"/>
          <w:bottom w:w="72" w:type="dxa"/>
          <w:right w:w="72" w:type="dxa"/>
        </w:tblCellMar>
        <w:tblLook w:val="0000" w:firstRow="0" w:lastRow="0" w:firstColumn="0" w:lastColumn="0" w:noHBand="0" w:noVBand="0"/>
      </w:tblPr>
      <w:tblGrid>
        <w:gridCol w:w="594"/>
        <w:gridCol w:w="1450"/>
        <w:gridCol w:w="1274"/>
        <w:gridCol w:w="1270"/>
        <w:gridCol w:w="1336"/>
        <w:gridCol w:w="1264"/>
        <w:gridCol w:w="2347"/>
      </w:tblGrid>
      <w:tr w:rsidR="004850F3" w:rsidRPr="00036F6E" w14:paraId="1B8028A4" w14:textId="77777777" w:rsidTr="00190445">
        <w:trPr>
          <w:cantSplit/>
        </w:trPr>
        <w:tc>
          <w:tcPr>
            <w:tcW w:w="594" w:type="dxa"/>
            <w:shd w:val="clear" w:color="auto" w:fill="ECECEC"/>
            <w:vAlign w:val="bottom"/>
          </w:tcPr>
          <w:p w14:paraId="327230CC"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State</w:t>
            </w:r>
          </w:p>
        </w:tc>
        <w:tc>
          <w:tcPr>
            <w:tcW w:w="1450" w:type="dxa"/>
            <w:shd w:val="clear" w:color="auto" w:fill="ECECEC"/>
            <w:vAlign w:val="bottom"/>
          </w:tcPr>
          <w:p w14:paraId="61C6BE6D"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Source</w:t>
            </w:r>
          </w:p>
        </w:tc>
        <w:tc>
          <w:tcPr>
            <w:tcW w:w="1274" w:type="dxa"/>
            <w:shd w:val="clear" w:color="auto" w:fill="ECECEC"/>
            <w:vAlign w:val="bottom"/>
          </w:tcPr>
          <w:p w14:paraId="20843DE8" w14:textId="2F49B43C"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 xml:space="preserve">Reported </w:t>
            </w:r>
            <w:r w:rsidR="00B76BF4" w:rsidRPr="00036F6E">
              <w:rPr>
                <w:rFonts w:asciiTheme="majorHAnsi" w:hAnsiTheme="majorHAnsi" w:cstheme="majorHAnsi"/>
                <w:b/>
                <w:sz w:val="18"/>
              </w:rPr>
              <w:t>202</w:t>
            </w:r>
            <w:r w:rsidR="00832F0D" w:rsidRPr="00036F6E">
              <w:rPr>
                <w:rFonts w:asciiTheme="majorHAnsi" w:hAnsiTheme="majorHAnsi" w:cstheme="majorHAnsi"/>
                <w:b/>
                <w:sz w:val="18"/>
              </w:rPr>
              <w:t>3</w:t>
            </w:r>
            <w:r w:rsidRPr="00036F6E">
              <w:rPr>
                <w:rFonts w:asciiTheme="majorHAnsi" w:hAnsiTheme="majorHAnsi" w:cstheme="majorHAnsi"/>
                <w:b/>
                <w:sz w:val="18"/>
              </w:rPr>
              <w:t xml:space="preserve"> SO</w:t>
            </w:r>
            <w:r w:rsidRPr="00036F6E">
              <w:rPr>
                <w:rFonts w:asciiTheme="majorHAnsi" w:hAnsiTheme="majorHAnsi" w:cstheme="majorHAnsi"/>
                <w:b/>
                <w:sz w:val="18"/>
                <w:vertAlign w:val="subscript"/>
              </w:rPr>
              <w:t>2</w:t>
            </w:r>
            <w:r w:rsidRPr="00036F6E">
              <w:rPr>
                <w:rFonts w:asciiTheme="majorHAnsi" w:hAnsiTheme="majorHAnsi" w:cstheme="majorHAnsi"/>
                <w:b/>
                <w:sz w:val="18"/>
              </w:rPr>
              <w:t xml:space="preserve"> Emissions (tons)</w:t>
            </w:r>
          </w:p>
        </w:tc>
        <w:tc>
          <w:tcPr>
            <w:tcW w:w="1270" w:type="dxa"/>
            <w:shd w:val="clear" w:color="auto" w:fill="ECECEC"/>
            <w:vAlign w:val="bottom"/>
          </w:tcPr>
          <w:p w14:paraId="0C47ACC0" w14:textId="0D56A57E"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 xml:space="preserve">Adjusted </w:t>
            </w:r>
            <w:r w:rsidR="00B76BF4" w:rsidRPr="00036F6E">
              <w:rPr>
                <w:rFonts w:asciiTheme="majorHAnsi" w:hAnsiTheme="majorHAnsi" w:cstheme="majorHAnsi"/>
                <w:b/>
                <w:sz w:val="18"/>
              </w:rPr>
              <w:t>202</w:t>
            </w:r>
            <w:r w:rsidR="00832F0D" w:rsidRPr="00036F6E">
              <w:rPr>
                <w:rFonts w:asciiTheme="majorHAnsi" w:hAnsiTheme="majorHAnsi" w:cstheme="majorHAnsi"/>
                <w:b/>
                <w:sz w:val="18"/>
              </w:rPr>
              <w:t>3</w:t>
            </w:r>
            <w:r w:rsidRPr="00036F6E">
              <w:rPr>
                <w:rFonts w:asciiTheme="majorHAnsi" w:hAnsiTheme="majorHAnsi" w:cstheme="majorHAnsi"/>
                <w:b/>
                <w:sz w:val="18"/>
              </w:rPr>
              <w:t xml:space="preserve"> SO</w:t>
            </w:r>
            <w:r w:rsidRPr="00036F6E">
              <w:rPr>
                <w:rFonts w:asciiTheme="majorHAnsi" w:hAnsiTheme="majorHAnsi" w:cstheme="majorHAnsi"/>
                <w:b/>
                <w:sz w:val="18"/>
                <w:vertAlign w:val="subscript"/>
              </w:rPr>
              <w:t>2</w:t>
            </w:r>
            <w:r w:rsidRPr="00036F6E">
              <w:rPr>
                <w:rFonts w:asciiTheme="majorHAnsi" w:hAnsiTheme="majorHAnsi" w:cstheme="majorHAnsi"/>
                <w:b/>
                <w:sz w:val="18"/>
              </w:rPr>
              <w:t xml:space="preserve"> Emissions (tons)</w:t>
            </w:r>
          </w:p>
        </w:tc>
        <w:tc>
          <w:tcPr>
            <w:tcW w:w="1336" w:type="dxa"/>
            <w:shd w:val="clear" w:color="auto" w:fill="ECECEC"/>
            <w:vAlign w:val="bottom"/>
          </w:tcPr>
          <w:p w14:paraId="34BAEF75"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Monitoring Methodology Adjustment</w:t>
            </w:r>
          </w:p>
          <w:p w14:paraId="02812DB4"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(tons)</w:t>
            </w:r>
          </w:p>
        </w:tc>
        <w:tc>
          <w:tcPr>
            <w:tcW w:w="1264" w:type="dxa"/>
            <w:shd w:val="clear" w:color="auto" w:fill="ECECEC"/>
          </w:tcPr>
          <w:p w14:paraId="30C30FD5"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Enforcement Action Adjustment (tons)</w:t>
            </w:r>
          </w:p>
        </w:tc>
        <w:tc>
          <w:tcPr>
            <w:tcW w:w="2347" w:type="dxa"/>
            <w:shd w:val="clear" w:color="auto" w:fill="ECECEC"/>
            <w:vAlign w:val="bottom"/>
          </w:tcPr>
          <w:p w14:paraId="4643361F" w14:textId="77777777" w:rsidR="004850F3" w:rsidRPr="00036F6E" w:rsidRDefault="004850F3" w:rsidP="004850F3">
            <w:pPr>
              <w:keepNext/>
              <w:jc w:val="center"/>
              <w:rPr>
                <w:rFonts w:asciiTheme="majorHAnsi" w:hAnsiTheme="majorHAnsi" w:cstheme="majorHAnsi"/>
                <w:b/>
                <w:sz w:val="18"/>
              </w:rPr>
            </w:pPr>
            <w:r w:rsidRPr="00036F6E">
              <w:rPr>
                <w:rFonts w:asciiTheme="majorHAnsi" w:hAnsiTheme="majorHAnsi" w:cstheme="majorHAnsi"/>
                <w:b/>
                <w:sz w:val="18"/>
              </w:rPr>
              <w:t>Description</w:t>
            </w:r>
          </w:p>
        </w:tc>
      </w:tr>
      <w:tr w:rsidR="00EA6C30" w:rsidRPr="00036F6E" w14:paraId="3E173EA4" w14:textId="77777777" w:rsidTr="00190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140"/>
        </w:trPr>
        <w:tc>
          <w:tcPr>
            <w:tcW w:w="594" w:type="dxa"/>
            <w:tcBorders>
              <w:top w:val="nil"/>
              <w:left w:val="single" w:sz="4" w:space="0" w:color="auto"/>
              <w:bottom w:val="single" w:sz="4" w:space="0" w:color="auto"/>
              <w:right w:val="single" w:sz="4" w:space="0" w:color="auto"/>
            </w:tcBorders>
            <w:shd w:val="clear" w:color="auto" w:fill="auto"/>
            <w:vAlign w:val="center"/>
            <w:hideMark/>
          </w:tcPr>
          <w:p w14:paraId="1EA3EC34" w14:textId="5FFF53FA"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UT</w:t>
            </w:r>
          </w:p>
        </w:tc>
        <w:tc>
          <w:tcPr>
            <w:tcW w:w="1450" w:type="dxa"/>
            <w:tcBorders>
              <w:top w:val="nil"/>
              <w:left w:val="nil"/>
              <w:bottom w:val="single" w:sz="4" w:space="0" w:color="auto"/>
              <w:right w:val="single" w:sz="4" w:space="0" w:color="auto"/>
            </w:tcBorders>
            <w:shd w:val="clear" w:color="auto" w:fill="auto"/>
            <w:vAlign w:val="center"/>
            <w:hideMark/>
          </w:tcPr>
          <w:p w14:paraId="11A94B74" w14:textId="4642240F"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Holcim-Devil's Slide Plant</w:t>
            </w:r>
          </w:p>
        </w:tc>
        <w:tc>
          <w:tcPr>
            <w:tcW w:w="1274" w:type="dxa"/>
            <w:tcBorders>
              <w:top w:val="nil"/>
              <w:left w:val="nil"/>
              <w:bottom w:val="single" w:sz="4" w:space="0" w:color="auto"/>
              <w:right w:val="single" w:sz="4" w:space="0" w:color="auto"/>
            </w:tcBorders>
            <w:shd w:val="clear" w:color="auto" w:fill="auto"/>
            <w:vAlign w:val="center"/>
            <w:hideMark/>
          </w:tcPr>
          <w:p w14:paraId="26C05C56" w14:textId="5486BDDF" w:rsidR="00EA6C30" w:rsidRPr="00036F6E" w:rsidRDefault="00B04C02" w:rsidP="00EA6C30">
            <w:pPr>
              <w:jc w:val="center"/>
              <w:rPr>
                <w:rFonts w:asciiTheme="majorHAnsi" w:hAnsiTheme="majorHAnsi" w:cstheme="majorHAnsi"/>
                <w:sz w:val="18"/>
              </w:rPr>
            </w:pPr>
            <w:r w:rsidRPr="00036F6E">
              <w:rPr>
                <w:rFonts w:asciiTheme="majorHAnsi" w:hAnsiTheme="majorHAnsi" w:cstheme="majorHAnsi"/>
                <w:sz w:val="18"/>
              </w:rPr>
              <w:t>129</w:t>
            </w:r>
          </w:p>
        </w:tc>
        <w:tc>
          <w:tcPr>
            <w:tcW w:w="1270" w:type="dxa"/>
            <w:tcBorders>
              <w:top w:val="nil"/>
              <w:left w:val="nil"/>
              <w:bottom w:val="single" w:sz="4" w:space="0" w:color="auto"/>
              <w:right w:val="single" w:sz="4" w:space="0" w:color="auto"/>
            </w:tcBorders>
            <w:shd w:val="clear" w:color="auto" w:fill="auto"/>
            <w:vAlign w:val="center"/>
            <w:hideMark/>
          </w:tcPr>
          <w:p w14:paraId="3CA315C0" w14:textId="62B1124F" w:rsidR="00EA6C30" w:rsidRPr="00036F6E" w:rsidRDefault="00EB26FC" w:rsidP="00EA6C30">
            <w:pPr>
              <w:jc w:val="center"/>
              <w:rPr>
                <w:rFonts w:asciiTheme="majorHAnsi" w:hAnsiTheme="majorHAnsi" w:cstheme="majorHAnsi"/>
                <w:sz w:val="18"/>
              </w:rPr>
            </w:pPr>
            <w:r w:rsidRPr="00036F6E">
              <w:rPr>
                <w:rFonts w:asciiTheme="majorHAnsi" w:hAnsiTheme="majorHAnsi" w:cstheme="majorHAnsi"/>
                <w:sz w:val="18"/>
              </w:rPr>
              <w:t>464</w:t>
            </w:r>
          </w:p>
        </w:tc>
        <w:tc>
          <w:tcPr>
            <w:tcW w:w="1336" w:type="dxa"/>
            <w:tcBorders>
              <w:top w:val="nil"/>
              <w:left w:val="nil"/>
              <w:bottom w:val="single" w:sz="4" w:space="0" w:color="auto"/>
              <w:right w:val="single" w:sz="4" w:space="0" w:color="auto"/>
            </w:tcBorders>
            <w:shd w:val="clear" w:color="auto" w:fill="auto"/>
            <w:vAlign w:val="center"/>
            <w:hideMark/>
          </w:tcPr>
          <w:p w14:paraId="57863DAA" w14:textId="3C0520E8" w:rsidR="00EA6C30" w:rsidRPr="00036F6E" w:rsidRDefault="00EB26FC" w:rsidP="00EA6C30">
            <w:pPr>
              <w:jc w:val="center"/>
              <w:rPr>
                <w:rFonts w:asciiTheme="majorHAnsi" w:hAnsiTheme="majorHAnsi" w:cstheme="majorHAnsi"/>
                <w:sz w:val="18"/>
              </w:rPr>
            </w:pPr>
            <w:r w:rsidRPr="00036F6E">
              <w:rPr>
                <w:rFonts w:asciiTheme="majorHAnsi" w:hAnsiTheme="majorHAnsi" w:cstheme="majorHAnsi"/>
                <w:sz w:val="18"/>
              </w:rPr>
              <w:t>335</w:t>
            </w:r>
          </w:p>
        </w:tc>
        <w:tc>
          <w:tcPr>
            <w:tcW w:w="1264" w:type="dxa"/>
            <w:tcBorders>
              <w:top w:val="single" w:sz="4" w:space="0" w:color="auto"/>
              <w:left w:val="nil"/>
              <w:bottom w:val="single" w:sz="4" w:space="0" w:color="auto"/>
              <w:right w:val="single" w:sz="4" w:space="0" w:color="auto"/>
            </w:tcBorders>
            <w:shd w:val="clear" w:color="auto" w:fill="auto"/>
            <w:vAlign w:val="center"/>
          </w:tcPr>
          <w:p w14:paraId="53F89792" w14:textId="7C3B0560" w:rsidR="00EA6C30" w:rsidRPr="00036F6E" w:rsidRDefault="00EA6C30" w:rsidP="00EA6C30">
            <w:pPr>
              <w:jc w:val="center"/>
              <w:rPr>
                <w:rFonts w:asciiTheme="majorHAnsi" w:hAnsiTheme="majorHAnsi" w:cstheme="majorHAnsi"/>
                <w:sz w:val="18"/>
              </w:rPr>
            </w:pPr>
          </w:p>
        </w:tc>
        <w:tc>
          <w:tcPr>
            <w:tcW w:w="2347" w:type="dxa"/>
            <w:tcBorders>
              <w:top w:val="nil"/>
              <w:left w:val="single" w:sz="4" w:space="0" w:color="auto"/>
              <w:bottom w:val="single" w:sz="4" w:space="0" w:color="auto"/>
              <w:right w:val="single" w:sz="4" w:space="0" w:color="auto"/>
            </w:tcBorders>
            <w:shd w:val="clear" w:color="auto" w:fill="auto"/>
            <w:vAlign w:val="center"/>
            <w:hideMark/>
          </w:tcPr>
          <w:p w14:paraId="02DB9CB3" w14:textId="226422FB" w:rsidR="00EA6C30" w:rsidRPr="00036F6E" w:rsidRDefault="00EA6C30" w:rsidP="00C85CFF">
            <w:pPr>
              <w:rPr>
                <w:rFonts w:asciiTheme="majorHAnsi" w:hAnsiTheme="majorHAnsi" w:cstheme="majorHAnsi"/>
                <w:sz w:val="18"/>
              </w:rPr>
            </w:pPr>
            <w:r w:rsidRPr="00036F6E">
              <w:rPr>
                <w:rFonts w:asciiTheme="majorHAnsi" w:hAnsiTheme="majorHAnsi" w:cstheme="majorHAnsi"/>
                <w:sz w:val="18"/>
              </w:rPr>
              <w:t>Now using CEM data</w:t>
            </w:r>
          </w:p>
        </w:tc>
      </w:tr>
      <w:tr w:rsidR="00EA6C30" w:rsidRPr="00036F6E" w14:paraId="3FC33A4C" w14:textId="77777777" w:rsidTr="00190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239"/>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AFB97" w14:textId="6E7BB6C9"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UT</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228A73" w14:textId="3A0B3CCE"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PacifiCorp -- Carbon Power Plant</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72263943" w14:textId="0D2F6DAD" w:rsidR="00EA6C30" w:rsidRPr="00036F6E" w:rsidRDefault="00EA6C30" w:rsidP="00EA6C30">
            <w:pPr>
              <w:jc w:val="center"/>
              <w:rPr>
                <w:rFonts w:asciiTheme="majorHAnsi" w:hAnsiTheme="majorHAnsi" w:cstheme="majorHAnsi"/>
                <w:sz w:val="18"/>
              </w:rPr>
            </w:pPr>
            <w:r w:rsidRPr="00036F6E">
              <w:rPr>
                <w:rFonts w:asciiTheme="majorHAnsi" w:hAnsiTheme="majorHAnsi" w:cstheme="majorHAnsi"/>
                <w:sz w:val="18"/>
              </w:rPr>
              <w:t>0</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3F6FB73A" w14:textId="47CA2DEE" w:rsidR="00EA6C30" w:rsidRPr="00036F6E" w:rsidRDefault="00EA6C30" w:rsidP="00EA6C30">
            <w:pPr>
              <w:jc w:val="center"/>
              <w:rPr>
                <w:rFonts w:asciiTheme="majorHAnsi" w:hAnsiTheme="majorHAnsi" w:cstheme="majorHAnsi"/>
                <w:sz w:val="18"/>
              </w:rPr>
            </w:pPr>
            <w:r w:rsidRPr="00036F6E">
              <w:rPr>
                <w:rFonts w:asciiTheme="majorHAnsi" w:hAnsiTheme="majorHAnsi" w:cstheme="majorHAnsi"/>
                <w:sz w:val="18"/>
              </w:rPr>
              <w:t>8,005</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3BD4F786" w14:textId="54FD3512" w:rsidR="00EA6C30" w:rsidRPr="00036F6E" w:rsidRDefault="00EA6C30" w:rsidP="00EA6C30">
            <w:pPr>
              <w:jc w:val="center"/>
              <w:rPr>
                <w:rFonts w:asciiTheme="majorHAnsi" w:hAnsiTheme="majorHAnsi" w:cstheme="majorHAnsi"/>
                <w:sz w:val="18"/>
              </w:rPr>
            </w:pPr>
          </w:p>
        </w:tc>
        <w:tc>
          <w:tcPr>
            <w:tcW w:w="1264" w:type="dxa"/>
            <w:tcBorders>
              <w:top w:val="single" w:sz="4" w:space="0" w:color="auto"/>
              <w:left w:val="nil"/>
              <w:bottom w:val="single" w:sz="4" w:space="0" w:color="auto"/>
              <w:right w:val="single" w:sz="4" w:space="0" w:color="auto"/>
            </w:tcBorders>
            <w:shd w:val="clear" w:color="auto" w:fill="auto"/>
            <w:vAlign w:val="center"/>
          </w:tcPr>
          <w:p w14:paraId="7428A625" w14:textId="10E9D852" w:rsidR="00EA6C30" w:rsidRPr="00036F6E" w:rsidRDefault="00C85CFF" w:rsidP="00EA6C30">
            <w:pPr>
              <w:jc w:val="center"/>
              <w:rPr>
                <w:rFonts w:asciiTheme="majorHAnsi" w:hAnsiTheme="majorHAnsi" w:cstheme="majorHAnsi"/>
                <w:sz w:val="18"/>
              </w:rPr>
            </w:pPr>
            <w:r w:rsidRPr="00036F6E">
              <w:rPr>
                <w:rFonts w:asciiTheme="majorHAnsi" w:hAnsiTheme="majorHAnsi" w:cstheme="majorHAnsi"/>
                <w:sz w:val="18"/>
              </w:rPr>
              <w:t>8,005</w:t>
            </w:r>
          </w:p>
        </w:tc>
        <w:tc>
          <w:tcPr>
            <w:tcW w:w="2347" w:type="dxa"/>
            <w:tcBorders>
              <w:top w:val="single" w:sz="4" w:space="0" w:color="auto"/>
              <w:left w:val="nil"/>
              <w:bottom w:val="single" w:sz="4" w:space="0" w:color="auto"/>
              <w:right w:val="single" w:sz="4" w:space="0" w:color="auto"/>
            </w:tcBorders>
            <w:shd w:val="clear" w:color="auto" w:fill="auto"/>
            <w:vAlign w:val="center"/>
          </w:tcPr>
          <w:p w14:paraId="567ACACF" w14:textId="15AB0EB5" w:rsidR="00EA6C30" w:rsidRPr="00036F6E" w:rsidRDefault="00EA6C30" w:rsidP="00C85CFF">
            <w:pPr>
              <w:rPr>
                <w:rFonts w:asciiTheme="majorHAnsi" w:hAnsiTheme="majorHAnsi" w:cstheme="majorHAnsi"/>
                <w:sz w:val="18"/>
              </w:rPr>
            </w:pPr>
            <w:proofErr w:type="gramStart"/>
            <w:r w:rsidRPr="00036F6E">
              <w:rPr>
                <w:rFonts w:asciiTheme="majorHAnsi" w:hAnsiTheme="majorHAnsi" w:cstheme="majorHAnsi"/>
                <w:sz w:val="18"/>
              </w:rPr>
              <w:t>An</w:t>
            </w:r>
            <w:proofErr w:type="gramEnd"/>
            <w:r w:rsidRPr="00036F6E">
              <w:rPr>
                <w:rFonts w:asciiTheme="majorHAnsi" w:hAnsiTheme="majorHAnsi" w:cstheme="majorHAnsi"/>
                <w:sz w:val="18"/>
              </w:rPr>
              <w:t xml:space="preserve"> Utah Enforceable Commitment SIP resolves that SO2 emissions reductions from the closure of the Carbon plant will not be counted as part of achieving the SO2 Milestones and as part of the Alternative to BART SIP for NOx. Therefore, 8,005 tons of SO2 are included in the emissions totals.</w:t>
            </w:r>
          </w:p>
        </w:tc>
      </w:tr>
      <w:tr w:rsidR="00EA6C30" w:rsidRPr="00036F6E" w14:paraId="79ED9DFA" w14:textId="77777777" w:rsidTr="00190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00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039F2" w14:textId="734C1BD4"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UT</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0DBC592" w14:textId="78449CBF"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Chevron Products Co. -- Salt Lake Refinery</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0A371E8D" w14:textId="0E366F6F" w:rsidR="00EA6C30" w:rsidRPr="00036F6E" w:rsidRDefault="00EA6C30" w:rsidP="00EA6C30">
            <w:pPr>
              <w:jc w:val="center"/>
              <w:rPr>
                <w:rFonts w:asciiTheme="majorHAnsi" w:hAnsiTheme="majorHAnsi" w:cstheme="majorHAnsi"/>
                <w:sz w:val="18"/>
              </w:rPr>
            </w:pPr>
            <w:r w:rsidRPr="00036F6E">
              <w:rPr>
                <w:rFonts w:asciiTheme="majorHAnsi" w:hAnsiTheme="majorHAnsi" w:cstheme="majorHAnsi"/>
                <w:sz w:val="18"/>
              </w:rPr>
              <w:t>34</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F9BB6A6" w14:textId="2C2C977F" w:rsidR="00EA6C30" w:rsidRPr="00036F6E" w:rsidRDefault="00EA6C30" w:rsidP="00EA6C30">
            <w:pPr>
              <w:jc w:val="center"/>
              <w:rPr>
                <w:rFonts w:asciiTheme="majorHAnsi" w:hAnsiTheme="majorHAnsi" w:cstheme="majorHAnsi"/>
                <w:sz w:val="18"/>
              </w:rPr>
            </w:pPr>
            <w:r w:rsidRPr="00036F6E">
              <w:rPr>
                <w:rFonts w:asciiTheme="majorHAnsi" w:hAnsiTheme="majorHAnsi" w:cstheme="majorHAnsi"/>
                <w:sz w:val="18"/>
              </w:rPr>
              <w:t>8</w:t>
            </w:r>
            <w:r w:rsidR="00EB26FC" w:rsidRPr="00036F6E">
              <w:rPr>
                <w:rFonts w:asciiTheme="majorHAnsi" w:hAnsiTheme="majorHAnsi" w:cstheme="majorHAnsi"/>
                <w:sz w:val="18"/>
              </w:rPr>
              <w:t>80</w:t>
            </w:r>
          </w:p>
        </w:tc>
        <w:tc>
          <w:tcPr>
            <w:tcW w:w="1336" w:type="dxa"/>
            <w:tcBorders>
              <w:top w:val="single" w:sz="4" w:space="0" w:color="auto"/>
              <w:left w:val="nil"/>
              <w:bottom w:val="single" w:sz="4" w:space="0" w:color="auto"/>
              <w:right w:val="single" w:sz="4" w:space="0" w:color="auto"/>
            </w:tcBorders>
            <w:shd w:val="clear" w:color="auto" w:fill="auto"/>
            <w:vAlign w:val="center"/>
          </w:tcPr>
          <w:p w14:paraId="13BB0930" w14:textId="08379B40" w:rsidR="00EA6C30" w:rsidRPr="00036F6E" w:rsidRDefault="00EB26FC" w:rsidP="00EA6C30">
            <w:pPr>
              <w:jc w:val="center"/>
              <w:rPr>
                <w:rFonts w:asciiTheme="majorHAnsi" w:hAnsiTheme="majorHAnsi" w:cstheme="majorHAnsi"/>
                <w:sz w:val="18"/>
              </w:rPr>
            </w:pPr>
            <w:r w:rsidRPr="00036F6E">
              <w:rPr>
                <w:rFonts w:asciiTheme="majorHAnsi" w:hAnsiTheme="majorHAnsi" w:cstheme="majorHAnsi"/>
                <w:sz w:val="18"/>
              </w:rPr>
              <w:t>846</w:t>
            </w:r>
          </w:p>
        </w:tc>
        <w:tc>
          <w:tcPr>
            <w:tcW w:w="1264" w:type="dxa"/>
            <w:tcBorders>
              <w:top w:val="single" w:sz="4" w:space="0" w:color="auto"/>
              <w:left w:val="nil"/>
              <w:bottom w:val="single" w:sz="4" w:space="0" w:color="auto"/>
              <w:right w:val="single" w:sz="4" w:space="0" w:color="auto"/>
            </w:tcBorders>
            <w:shd w:val="clear" w:color="auto" w:fill="auto"/>
            <w:vAlign w:val="center"/>
          </w:tcPr>
          <w:p w14:paraId="095C3083" w14:textId="59EE20E2" w:rsidR="00EA6C30" w:rsidRPr="00036F6E" w:rsidRDefault="00EA6C30" w:rsidP="00EA6C30">
            <w:pPr>
              <w:jc w:val="center"/>
              <w:rPr>
                <w:rFonts w:asciiTheme="majorHAnsi" w:hAnsiTheme="majorHAnsi" w:cstheme="majorHAnsi"/>
                <w:sz w:val="18"/>
              </w:rPr>
            </w:pP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30BDBC4D" w14:textId="04EFA7E5" w:rsidR="00EA6C30" w:rsidRPr="00036F6E" w:rsidRDefault="00EA6C30" w:rsidP="00C85CFF">
            <w:pPr>
              <w:rPr>
                <w:rFonts w:asciiTheme="majorHAnsi" w:hAnsiTheme="majorHAnsi" w:cstheme="majorHAnsi"/>
                <w:sz w:val="18"/>
              </w:rPr>
            </w:pPr>
            <w:r w:rsidRPr="00036F6E">
              <w:rPr>
                <w:rFonts w:asciiTheme="majorHAnsi" w:hAnsiTheme="majorHAnsi" w:cstheme="majorHAnsi"/>
                <w:sz w:val="18"/>
              </w:rPr>
              <w:t xml:space="preserve">Increase in Adjusted SO2 Emissions is due to a correction in the calculation of Adjusted SO2 </w:t>
            </w:r>
            <w:r w:rsidR="00734D09" w:rsidRPr="00036F6E">
              <w:rPr>
                <w:rFonts w:asciiTheme="majorHAnsi" w:hAnsiTheme="majorHAnsi" w:cstheme="majorHAnsi"/>
                <w:sz w:val="18"/>
              </w:rPr>
              <w:t>Emissions. The</w:t>
            </w:r>
            <w:r w:rsidRPr="00036F6E">
              <w:rPr>
                <w:rFonts w:asciiTheme="majorHAnsi" w:hAnsiTheme="majorHAnsi" w:cstheme="majorHAnsi"/>
                <w:sz w:val="18"/>
              </w:rPr>
              <w:t xml:space="preserve"> previous formula used to calculate SO2 included flowmeters and engineering judgement etc. The current formula for calculating now incorporates CEM data.</w:t>
            </w:r>
          </w:p>
        </w:tc>
      </w:tr>
      <w:tr w:rsidR="00EA6C30" w:rsidRPr="00036F6E" w14:paraId="4A3C2264" w14:textId="77777777" w:rsidTr="001904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55"/>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14:paraId="62AD0F42" w14:textId="40268DA0"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UT</w:t>
            </w:r>
          </w:p>
        </w:tc>
        <w:tc>
          <w:tcPr>
            <w:tcW w:w="1450" w:type="dxa"/>
            <w:tcBorders>
              <w:top w:val="single" w:sz="4" w:space="0" w:color="auto"/>
              <w:left w:val="nil"/>
              <w:bottom w:val="single" w:sz="4" w:space="0" w:color="auto"/>
              <w:right w:val="single" w:sz="4" w:space="0" w:color="auto"/>
            </w:tcBorders>
            <w:shd w:val="clear" w:color="auto" w:fill="auto"/>
            <w:vAlign w:val="center"/>
          </w:tcPr>
          <w:p w14:paraId="242F529C" w14:textId="72E997F0" w:rsidR="00EA6C30" w:rsidRPr="00036F6E" w:rsidRDefault="00EA6C30" w:rsidP="00EA6C30">
            <w:pPr>
              <w:rPr>
                <w:rFonts w:asciiTheme="majorHAnsi" w:hAnsiTheme="majorHAnsi" w:cstheme="majorHAnsi"/>
                <w:sz w:val="18"/>
              </w:rPr>
            </w:pPr>
            <w:r w:rsidRPr="00036F6E">
              <w:rPr>
                <w:rFonts w:asciiTheme="majorHAnsi" w:hAnsiTheme="majorHAnsi" w:cstheme="majorHAnsi"/>
                <w:sz w:val="18"/>
              </w:rPr>
              <w:t>Big West Oil Company - Flying J Refinery</w:t>
            </w:r>
          </w:p>
        </w:tc>
        <w:tc>
          <w:tcPr>
            <w:tcW w:w="1274" w:type="dxa"/>
            <w:tcBorders>
              <w:top w:val="single" w:sz="4" w:space="0" w:color="auto"/>
              <w:left w:val="nil"/>
              <w:bottom w:val="single" w:sz="4" w:space="0" w:color="auto"/>
              <w:right w:val="single" w:sz="4" w:space="0" w:color="auto"/>
            </w:tcBorders>
            <w:shd w:val="clear" w:color="auto" w:fill="auto"/>
            <w:vAlign w:val="center"/>
          </w:tcPr>
          <w:p w14:paraId="4680F946" w14:textId="07306C71" w:rsidR="00EA6C30" w:rsidRPr="00036F6E" w:rsidRDefault="00F4642C" w:rsidP="00EA6C30">
            <w:pPr>
              <w:jc w:val="center"/>
              <w:rPr>
                <w:rFonts w:asciiTheme="majorHAnsi" w:hAnsiTheme="majorHAnsi" w:cstheme="majorHAnsi"/>
                <w:sz w:val="18"/>
              </w:rPr>
            </w:pPr>
            <w:r w:rsidRPr="00036F6E">
              <w:rPr>
                <w:rFonts w:asciiTheme="majorHAnsi" w:hAnsiTheme="majorHAnsi" w:cstheme="majorHAnsi"/>
                <w:sz w:val="18"/>
              </w:rPr>
              <w:t>70</w:t>
            </w:r>
          </w:p>
        </w:tc>
        <w:tc>
          <w:tcPr>
            <w:tcW w:w="1270" w:type="dxa"/>
            <w:tcBorders>
              <w:top w:val="single" w:sz="4" w:space="0" w:color="auto"/>
              <w:left w:val="nil"/>
              <w:bottom w:val="single" w:sz="4" w:space="0" w:color="auto"/>
              <w:right w:val="single" w:sz="4" w:space="0" w:color="auto"/>
            </w:tcBorders>
            <w:shd w:val="clear" w:color="auto" w:fill="auto"/>
            <w:vAlign w:val="center"/>
          </w:tcPr>
          <w:p w14:paraId="5CE7BAA9" w14:textId="4535DED1" w:rsidR="00EA6C30" w:rsidRPr="00036F6E" w:rsidRDefault="00F4642C" w:rsidP="00EA6C30">
            <w:pPr>
              <w:jc w:val="center"/>
              <w:rPr>
                <w:rFonts w:asciiTheme="majorHAnsi" w:hAnsiTheme="majorHAnsi" w:cstheme="majorHAnsi"/>
                <w:sz w:val="18"/>
              </w:rPr>
            </w:pPr>
            <w:r w:rsidRPr="00036F6E">
              <w:rPr>
                <w:rFonts w:asciiTheme="majorHAnsi" w:hAnsiTheme="majorHAnsi" w:cstheme="majorHAnsi"/>
                <w:sz w:val="18"/>
              </w:rPr>
              <w:t>231</w:t>
            </w:r>
          </w:p>
        </w:tc>
        <w:tc>
          <w:tcPr>
            <w:tcW w:w="1336" w:type="dxa"/>
            <w:tcBorders>
              <w:top w:val="single" w:sz="4" w:space="0" w:color="auto"/>
              <w:left w:val="nil"/>
              <w:bottom w:val="single" w:sz="4" w:space="0" w:color="auto"/>
              <w:right w:val="single" w:sz="4" w:space="0" w:color="auto"/>
            </w:tcBorders>
            <w:shd w:val="clear" w:color="auto" w:fill="auto"/>
            <w:vAlign w:val="center"/>
          </w:tcPr>
          <w:p w14:paraId="40F0C321" w14:textId="59E2C8B4" w:rsidR="00EA6C30" w:rsidRPr="00036F6E" w:rsidRDefault="00F4642C" w:rsidP="00EA6C30">
            <w:pPr>
              <w:jc w:val="center"/>
              <w:rPr>
                <w:rFonts w:asciiTheme="majorHAnsi" w:hAnsiTheme="majorHAnsi" w:cstheme="majorHAnsi"/>
                <w:sz w:val="18"/>
              </w:rPr>
            </w:pPr>
            <w:r w:rsidRPr="00036F6E">
              <w:rPr>
                <w:rFonts w:asciiTheme="majorHAnsi" w:hAnsiTheme="majorHAnsi" w:cstheme="majorHAnsi"/>
                <w:sz w:val="18"/>
              </w:rPr>
              <w:t>162</w:t>
            </w:r>
          </w:p>
        </w:tc>
        <w:tc>
          <w:tcPr>
            <w:tcW w:w="1264" w:type="dxa"/>
            <w:tcBorders>
              <w:top w:val="single" w:sz="4" w:space="0" w:color="auto"/>
              <w:left w:val="nil"/>
              <w:bottom w:val="single" w:sz="4" w:space="0" w:color="auto"/>
              <w:right w:val="single" w:sz="4" w:space="0" w:color="auto"/>
            </w:tcBorders>
            <w:shd w:val="clear" w:color="auto" w:fill="auto"/>
            <w:vAlign w:val="center"/>
          </w:tcPr>
          <w:p w14:paraId="6F7AABBE" w14:textId="1F7057F1" w:rsidR="00EA6C30" w:rsidRPr="00036F6E" w:rsidRDefault="00EA6C30" w:rsidP="00EA6C30">
            <w:pPr>
              <w:jc w:val="center"/>
              <w:rPr>
                <w:rFonts w:asciiTheme="majorHAnsi" w:hAnsiTheme="majorHAnsi" w:cstheme="majorHAnsi"/>
                <w:sz w:val="18"/>
              </w:rPr>
            </w:pPr>
          </w:p>
        </w:tc>
        <w:tc>
          <w:tcPr>
            <w:tcW w:w="2347" w:type="dxa"/>
            <w:tcBorders>
              <w:top w:val="single" w:sz="4" w:space="0" w:color="auto"/>
              <w:left w:val="nil"/>
              <w:bottom w:val="single" w:sz="4" w:space="0" w:color="auto"/>
              <w:right w:val="single" w:sz="4" w:space="0" w:color="auto"/>
            </w:tcBorders>
            <w:shd w:val="clear" w:color="auto" w:fill="auto"/>
            <w:vAlign w:val="center"/>
          </w:tcPr>
          <w:p w14:paraId="501B814C" w14:textId="206C4C80" w:rsidR="00EA6C30" w:rsidRPr="00036F6E" w:rsidRDefault="00EA6C30" w:rsidP="00C85CFF">
            <w:pPr>
              <w:rPr>
                <w:rFonts w:asciiTheme="majorHAnsi" w:hAnsiTheme="majorHAnsi" w:cstheme="majorHAnsi"/>
                <w:sz w:val="18"/>
              </w:rPr>
            </w:pPr>
            <w:r w:rsidRPr="00036F6E">
              <w:rPr>
                <w:rFonts w:asciiTheme="majorHAnsi" w:hAnsiTheme="majorHAnsi" w:cstheme="majorHAnsi"/>
                <w:sz w:val="18"/>
              </w:rPr>
              <w:t>Now using CEM data</w:t>
            </w:r>
          </w:p>
        </w:tc>
      </w:tr>
    </w:tbl>
    <w:p w14:paraId="5C4D82ED" w14:textId="3AB29DA0" w:rsidR="0099781D" w:rsidRPr="005F018D" w:rsidRDefault="005142EC" w:rsidP="00BB3A94">
      <w:pPr>
        <w:pStyle w:val="Heading2"/>
        <w:rPr>
          <w:rStyle w:val="WP9Hyperlink"/>
          <w:b w:val="0"/>
          <w:color w:val="000000"/>
          <w:szCs w:val="24"/>
          <w:u w:val="none"/>
        </w:rPr>
      </w:pPr>
      <w:r>
        <w:rPr>
          <w:rStyle w:val="WP9Hyperlink"/>
          <w:b w:val="0"/>
          <w:color w:val="000000"/>
          <w:szCs w:val="24"/>
          <w:u w:val="none"/>
        </w:rPr>
        <w:lastRenderedPageBreak/>
        <w:t>4.0</w:t>
      </w:r>
      <w:r>
        <w:rPr>
          <w:rStyle w:val="WP9Hyperlink"/>
          <w:b w:val="0"/>
          <w:color w:val="000000"/>
          <w:szCs w:val="24"/>
          <w:u w:val="none"/>
        </w:rPr>
        <w:tab/>
      </w:r>
      <w:r w:rsidR="00B76BF4">
        <w:rPr>
          <w:rStyle w:val="WP9Hyperlink"/>
          <w:b w:val="0"/>
          <w:color w:val="000000"/>
          <w:szCs w:val="24"/>
          <w:u w:val="none"/>
        </w:rPr>
        <w:t>202</w:t>
      </w:r>
      <w:r w:rsidR="00832F0D">
        <w:rPr>
          <w:rStyle w:val="WP9Hyperlink"/>
          <w:b w:val="0"/>
          <w:color w:val="000000"/>
          <w:szCs w:val="24"/>
          <w:u w:val="none"/>
        </w:rPr>
        <w:t>3</w:t>
      </w:r>
      <w:r w:rsidR="0099781D" w:rsidRPr="005F018D">
        <w:rPr>
          <w:rStyle w:val="WP9Hyperlink"/>
          <w:b w:val="0"/>
          <w:color w:val="000000"/>
          <w:szCs w:val="24"/>
          <w:u w:val="none"/>
        </w:rPr>
        <w:t xml:space="preserve"> </w:t>
      </w:r>
      <w:r w:rsidR="006412EE">
        <w:rPr>
          <w:rStyle w:val="WP9Hyperlink"/>
          <w:b w:val="0"/>
          <w:color w:val="000000"/>
          <w:szCs w:val="24"/>
          <w:u w:val="none"/>
        </w:rPr>
        <w:t xml:space="preserve">Adjusted </w:t>
      </w:r>
      <w:r w:rsidR="00AA0073">
        <w:rPr>
          <w:rStyle w:val="WP9Hyperlink"/>
          <w:b w:val="0"/>
          <w:color w:val="000000"/>
          <w:szCs w:val="24"/>
          <w:u w:val="none"/>
        </w:rPr>
        <w:t>Emissions</w:t>
      </w:r>
    </w:p>
    <w:p w14:paraId="24A4A13B" w14:textId="4F73B53F" w:rsidR="0099781D" w:rsidRDefault="0099781D" w:rsidP="00605DC0">
      <w:pPr>
        <w:keepNext/>
        <w:keepLines/>
        <w:rPr>
          <w:rStyle w:val="WP9Hyperlink"/>
          <w:rFonts w:asciiTheme="minorHAnsi" w:hAnsiTheme="minorHAnsi"/>
          <w:color w:val="000000"/>
          <w:u w:val="none"/>
        </w:rPr>
      </w:pPr>
      <w:r w:rsidRPr="003E17F1">
        <w:rPr>
          <w:rStyle w:val="WP9Hyperlink"/>
          <w:rFonts w:asciiTheme="minorHAnsi" w:hAnsiTheme="minorHAnsi"/>
          <w:b/>
          <w:color w:val="000000"/>
          <w:u w:val="none"/>
        </w:rPr>
        <w:tab/>
      </w:r>
      <w:r w:rsidRPr="003E17F1">
        <w:rPr>
          <w:rStyle w:val="WP9Hyperlink"/>
          <w:rFonts w:asciiTheme="minorHAnsi" w:hAnsiTheme="minorHAnsi"/>
          <w:color w:val="000000"/>
          <w:u w:val="none"/>
        </w:rPr>
        <w:t xml:space="preserve">The SIPs require </w:t>
      </w:r>
      <w:proofErr w:type="gramStart"/>
      <w:r w:rsidRPr="003E17F1">
        <w:rPr>
          <w:rStyle w:val="WP9Hyperlink"/>
          <w:rFonts w:asciiTheme="minorHAnsi" w:hAnsiTheme="minorHAnsi"/>
          <w:color w:val="000000"/>
          <w:u w:val="none"/>
        </w:rPr>
        <w:t>multi</w:t>
      </w:r>
      <w:proofErr w:type="gramEnd"/>
      <w:r w:rsidRPr="003E17F1">
        <w:rPr>
          <w:rStyle w:val="WP9Hyperlink"/>
          <w:rFonts w:asciiTheme="minorHAnsi" w:hAnsiTheme="minorHAnsi"/>
          <w:color w:val="000000"/>
          <w:u w:val="none"/>
        </w:rPr>
        <w:t>-year averaging of emissions from 2004 to 2017 for the milestone comparison.</w:t>
      </w:r>
      <w:r w:rsidR="00BB5AF4" w:rsidRPr="003E17F1">
        <w:rPr>
          <w:rStyle w:val="WP9Hyperlink"/>
          <w:rFonts w:asciiTheme="minorHAnsi" w:hAnsiTheme="minorHAnsi"/>
          <w:color w:val="000000"/>
          <w:u w:val="none"/>
        </w:rPr>
        <w:t xml:space="preserve"> </w:t>
      </w:r>
      <w:r w:rsidRPr="003E17F1">
        <w:rPr>
          <w:rStyle w:val="WP9Hyperlink"/>
          <w:rFonts w:asciiTheme="minorHAnsi" w:hAnsiTheme="minorHAnsi"/>
          <w:color w:val="000000"/>
          <w:u w:val="none"/>
        </w:rPr>
        <w:t>From 2005 to 2017,</w:t>
      </w:r>
      <w:r w:rsidR="006C09E2">
        <w:rPr>
          <w:rStyle w:val="WP9Hyperlink"/>
          <w:rFonts w:asciiTheme="minorHAnsi" w:hAnsiTheme="minorHAnsi"/>
          <w:color w:val="000000"/>
          <w:u w:val="none"/>
        </w:rPr>
        <w:t xml:space="preserve"> states compare</w:t>
      </w:r>
      <w:r w:rsidRPr="003E17F1">
        <w:rPr>
          <w:rStyle w:val="WP9Hyperlink"/>
          <w:rFonts w:asciiTheme="minorHAnsi" w:hAnsiTheme="minorHAnsi"/>
          <w:color w:val="000000"/>
          <w:u w:val="none"/>
        </w:rPr>
        <w:t xml:space="preserve"> a three-year average (which includes the reporting year and the two previous years)</w:t>
      </w:r>
      <w:r w:rsidR="006C09E2">
        <w:rPr>
          <w:rStyle w:val="WP9Hyperlink"/>
          <w:rFonts w:asciiTheme="minorHAnsi" w:hAnsiTheme="minorHAnsi"/>
          <w:color w:val="000000"/>
          <w:u w:val="none"/>
        </w:rPr>
        <w:t xml:space="preserve"> </w:t>
      </w:r>
      <w:r w:rsidRPr="00787BF6">
        <w:rPr>
          <w:rStyle w:val="WP9Hyperlink"/>
          <w:rFonts w:asciiTheme="minorHAnsi" w:hAnsiTheme="minorHAnsi"/>
          <w:color w:val="000000"/>
          <w:u w:val="none"/>
        </w:rPr>
        <w:t>with the miles</w:t>
      </w:r>
      <w:r w:rsidR="000131A7" w:rsidRPr="00787BF6">
        <w:rPr>
          <w:rStyle w:val="WP9Hyperlink"/>
          <w:rFonts w:asciiTheme="minorHAnsi" w:hAnsiTheme="minorHAnsi"/>
          <w:color w:val="000000"/>
          <w:u w:val="none"/>
        </w:rPr>
        <w:t>tone.</w:t>
      </w:r>
      <w:r w:rsidR="00AA0073">
        <w:rPr>
          <w:rStyle w:val="WP9Hyperlink"/>
          <w:rFonts w:asciiTheme="minorHAnsi" w:hAnsiTheme="minorHAnsi"/>
          <w:color w:val="000000"/>
          <w:u w:val="none"/>
        </w:rPr>
        <w:t xml:space="preserve"> For this milestone report the SIPs require a comparison of </w:t>
      </w:r>
      <w:r w:rsidR="00B76BF4">
        <w:rPr>
          <w:rStyle w:val="WP9Hyperlink"/>
          <w:rFonts w:asciiTheme="minorHAnsi" w:hAnsiTheme="minorHAnsi"/>
          <w:color w:val="000000"/>
          <w:u w:val="none"/>
        </w:rPr>
        <w:t>202</w:t>
      </w:r>
      <w:r w:rsidR="0044301A">
        <w:rPr>
          <w:rStyle w:val="WP9Hyperlink"/>
          <w:rFonts w:asciiTheme="minorHAnsi" w:hAnsiTheme="minorHAnsi"/>
          <w:color w:val="000000"/>
          <w:u w:val="none"/>
        </w:rPr>
        <w:t>3</w:t>
      </w:r>
      <w:r w:rsidR="00AA0073">
        <w:rPr>
          <w:rStyle w:val="WP9Hyperlink"/>
          <w:rFonts w:asciiTheme="minorHAnsi" w:hAnsiTheme="minorHAnsi"/>
          <w:color w:val="000000"/>
          <w:u w:val="none"/>
        </w:rPr>
        <w:t xml:space="preserve"> emissions with the 2018 milestone.</w:t>
      </w:r>
      <w:r w:rsidR="00BB5AF4" w:rsidRPr="003E17F1">
        <w:rPr>
          <w:rStyle w:val="WP9Hyperlink"/>
          <w:rFonts w:asciiTheme="minorHAnsi" w:hAnsiTheme="minorHAnsi"/>
          <w:color w:val="000000"/>
          <w:u w:val="none"/>
        </w:rPr>
        <w:t xml:space="preserve"> </w:t>
      </w:r>
      <w:r w:rsidR="00AA0073">
        <w:rPr>
          <w:rStyle w:val="WP9Hyperlink"/>
          <w:rFonts w:asciiTheme="minorHAnsi" w:hAnsiTheme="minorHAnsi"/>
          <w:color w:val="000000"/>
          <w:u w:val="none"/>
        </w:rPr>
        <w:t xml:space="preserve">The adjusted emissions for </w:t>
      </w:r>
      <w:r w:rsidR="00B76BF4">
        <w:rPr>
          <w:rStyle w:val="WP9Hyperlink"/>
          <w:rFonts w:asciiTheme="minorHAnsi" w:hAnsiTheme="minorHAnsi"/>
          <w:color w:val="000000"/>
          <w:u w:val="none"/>
        </w:rPr>
        <w:t>202</w:t>
      </w:r>
      <w:r w:rsidR="0044301A">
        <w:rPr>
          <w:rStyle w:val="WP9Hyperlink"/>
          <w:rFonts w:asciiTheme="minorHAnsi" w:hAnsiTheme="minorHAnsi"/>
          <w:color w:val="000000"/>
          <w:u w:val="none"/>
        </w:rPr>
        <w:t>3</w:t>
      </w:r>
      <w:r w:rsidR="00AA0073">
        <w:rPr>
          <w:rStyle w:val="WP9Hyperlink"/>
          <w:rFonts w:asciiTheme="minorHAnsi" w:hAnsiTheme="minorHAnsi"/>
          <w:color w:val="000000"/>
          <w:u w:val="none"/>
        </w:rPr>
        <w:t xml:space="preserve"> are </w:t>
      </w:r>
      <w:r w:rsidR="00F21F19">
        <w:rPr>
          <w:rStyle w:val="WP9Hyperlink"/>
          <w:rFonts w:asciiTheme="minorHAnsi" w:hAnsiTheme="minorHAnsi"/>
          <w:color w:val="000000"/>
          <w:u w:val="none"/>
        </w:rPr>
        <w:t>50,76</w:t>
      </w:r>
      <w:r w:rsidR="00FB3079">
        <w:rPr>
          <w:rStyle w:val="WP9Hyperlink"/>
          <w:rFonts w:asciiTheme="minorHAnsi" w:hAnsiTheme="minorHAnsi"/>
          <w:color w:val="000000"/>
          <w:u w:val="none"/>
        </w:rPr>
        <w:t>7</w:t>
      </w:r>
      <w:r w:rsidR="00F12AF5" w:rsidRPr="00F21F19">
        <w:rPr>
          <w:rStyle w:val="WP9Hyperlink"/>
          <w:rFonts w:asciiTheme="minorHAnsi" w:hAnsiTheme="minorHAnsi"/>
          <w:color w:val="000000"/>
          <w:u w:val="none"/>
        </w:rPr>
        <w:t xml:space="preserve"> </w:t>
      </w:r>
      <w:r w:rsidR="007D6CA0" w:rsidRPr="00F21F19">
        <w:rPr>
          <w:rStyle w:val="WP9Hyperlink"/>
          <w:rFonts w:asciiTheme="minorHAnsi" w:hAnsiTheme="minorHAnsi"/>
          <w:color w:val="000000"/>
          <w:u w:val="none"/>
        </w:rPr>
        <w:t>tons</w:t>
      </w:r>
      <w:r w:rsidR="00AA0073" w:rsidRPr="00F21F19">
        <w:rPr>
          <w:rStyle w:val="WP9Hyperlink"/>
          <w:rFonts w:asciiTheme="minorHAnsi" w:hAnsiTheme="minorHAnsi"/>
          <w:color w:val="000000"/>
          <w:u w:val="none"/>
        </w:rPr>
        <w:t>.</w:t>
      </w:r>
      <w:r w:rsidR="00AA0073">
        <w:rPr>
          <w:rStyle w:val="WP9Hyperlink"/>
          <w:rFonts w:asciiTheme="minorHAnsi" w:hAnsiTheme="minorHAnsi"/>
          <w:color w:val="000000"/>
          <w:u w:val="none"/>
        </w:rPr>
        <w:t xml:space="preserve"> </w:t>
      </w:r>
      <w:r w:rsidRPr="003E17F1">
        <w:rPr>
          <w:rStyle w:val="WP9Hyperlink"/>
          <w:rFonts w:asciiTheme="minorHAnsi" w:hAnsiTheme="minorHAnsi"/>
          <w:color w:val="000000"/>
          <w:u w:val="none"/>
        </w:rPr>
        <w:t>The following report sections describe the adjusted milestone determination.</w:t>
      </w:r>
    </w:p>
    <w:p w14:paraId="4F27C88E" w14:textId="3E8ECF12" w:rsidR="0099781D" w:rsidRPr="004A7E9A" w:rsidRDefault="0099781D" w:rsidP="00BB3A94">
      <w:pPr>
        <w:pStyle w:val="Heading2"/>
        <w:rPr>
          <w:rStyle w:val="WP9Hyperlink"/>
          <w:b w:val="0"/>
          <w:color w:val="000000"/>
          <w:szCs w:val="24"/>
          <w:u w:val="none"/>
        </w:rPr>
      </w:pPr>
      <w:r w:rsidRPr="004A7E9A">
        <w:rPr>
          <w:rStyle w:val="WP9Hyperlink"/>
          <w:b w:val="0"/>
          <w:color w:val="000000"/>
          <w:szCs w:val="24"/>
          <w:u w:val="none"/>
        </w:rPr>
        <w:t>5.0</w:t>
      </w:r>
      <w:r w:rsidR="005142EC" w:rsidRPr="004A7E9A">
        <w:rPr>
          <w:rStyle w:val="WP9Hyperlink"/>
          <w:b w:val="0"/>
          <w:color w:val="000000"/>
          <w:szCs w:val="24"/>
          <w:u w:val="none"/>
        </w:rPr>
        <w:tab/>
      </w:r>
      <w:r w:rsidRPr="004A7E9A">
        <w:rPr>
          <w:rStyle w:val="WP9Hyperlink"/>
          <w:b w:val="0"/>
          <w:color w:val="000000"/>
          <w:szCs w:val="24"/>
          <w:u w:val="none"/>
        </w:rPr>
        <w:t>Enforcement Milestone Adjustments</w:t>
      </w:r>
    </w:p>
    <w:p w14:paraId="4445C4B4" w14:textId="095F9B1B" w:rsidR="0099781D" w:rsidRPr="00CC6F12" w:rsidRDefault="0099781D" w:rsidP="00CC6F12">
      <w:pPr>
        <w:keepLines/>
        <w:spacing w:after="200"/>
        <w:rPr>
          <w:rStyle w:val="WP9Hyperlink"/>
          <w:rFonts w:asciiTheme="minorHAnsi" w:hAnsiTheme="minorHAnsi"/>
          <w:color w:val="000000"/>
          <w:spacing w:val="-4"/>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The</w:t>
      </w:r>
      <w:r w:rsidRPr="00CC6F12">
        <w:rPr>
          <w:rStyle w:val="WP9Hyperlink"/>
          <w:rFonts w:asciiTheme="minorHAnsi" w:hAnsiTheme="minorHAnsi"/>
          <w:color w:val="auto"/>
          <w:u w:val="none"/>
        </w:rPr>
        <w:t xml:space="preserve"> </w:t>
      </w:r>
      <w:r w:rsidRPr="00CC6F12">
        <w:rPr>
          <w:rStyle w:val="WP9Hyperlink"/>
          <w:rFonts w:asciiTheme="minorHAnsi" w:hAnsiTheme="minorHAnsi"/>
          <w:color w:val="000000"/>
          <w:u w:val="none"/>
        </w:rPr>
        <w:t>SIPs require that each state report on proposed milestone adjustments due to enforcement actions, which affect baseline year emissions.</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The purpose of this adjustment is to remove emissions that </w:t>
      </w:r>
      <w:proofErr w:type="gramStart"/>
      <w:r w:rsidRPr="00CC6F12">
        <w:rPr>
          <w:rStyle w:val="WP9Hyperlink"/>
          <w:rFonts w:asciiTheme="minorHAnsi" w:hAnsiTheme="minorHAnsi"/>
          <w:color w:val="000000"/>
          <w:u w:val="none"/>
        </w:rPr>
        <w:t>occurred</w:t>
      </w:r>
      <w:proofErr w:type="gramEnd"/>
      <w:r w:rsidRPr="00CC6F12">
        <w:rPr>
          <w:rStyle w:val="WP9Hyperlink"/>
          <w:rFonts w:asciiTheme="minorHAnsi" w:hAnsiTheme="minorHAnsi"/>
          <w:color w:val="000000"/>
          <w:u w:val="none"/>
        </w:rPr>
        <w:t xml:space="preserve"> above the allowable level in the baseline year from the baseline and the annual milestones.</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The enforcement milestone adjustments require an </w:t>
      </w:r>
      <w:r w:rsidR="007E2C9A" w:rsidRPr="00CC6F12">
        <w:rPr>
          <w:rStyle w:val="WP9Hyperlink"/>
          <w:rFonts w:asciiTheme="minorHAnsi" w:hAnsiTheme="minorHAnsi"/>
          <w:color w:val="000000"/>
          <w:u w:val="none"/>
        </w:rPr>
        <w:t>EPA-</w:t>
      </w:r>
      <w:r w:rsidRPr="00CC6F12">
        <w:rPr>
          <w:rStyle w:val="WP9Hyperlink"/>
          <w:rFonts w:asciiTheme="minorHAnsi" w:hAnsiTheme="minorHAnsi"/>
          <w:color w:val="000000"/>
          <w:u w:val="none"/>
        </w:rPr>
        <w:t>approved SIP revision before taking effect.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spacing w:val="-4"/>
          <w:u w:val="none"/>
        </w:rPr>
        <w:t xml:space="preserve">There </w:t>
      </w:r>
      <w:proofErr w:type="gramStart"/>
      <w:r w:rsidRPr="00CC6F12">
        <w:rPr>
          <w:rStyle w:val="WP9Hyperlink"/>
          <w:rFonts w:asciiTheme="minorHAnsi" w:hAnsiTheme="minorHAnsi"/>
          <w:color w:val="000000"/>
          <w:spacing w:val="-4"/>
          <w:u w:val="none"/>
        </w:rPr>
        <w:t>were</w:t>
      </w:r>
      <w:proofErr w:type="gramEnd"/>
      <w:r w:rsidRPr="00CC6F12">
        <w:rPr>
          <w:rStyle w:val="WP9Hyperlink"/>
          <w:rFonts w:asciiTheme="minorHAnsi" w:hAnsiTheme="minorHAnsi"/>
          <w:color w:val="000000"/>
          <w:spacing w:val="-4"/>
          <w:u w:val="none"/>
        </w:rPr>
        <w:t xml:space="preserve"> no proposed enforcement action</w:t>
      </w:r>
      <w:r w:rsidR="0017056D">
        <w:rPr>
          <w:rStyle w:val="WP9Hyperlink"/>
          <w:rFonts w:asciiTheme="minorHAnsi" w:hAnsiTheme="minorHAnsi"/>
          <w:color w:val="000000"/>
          <w:spacing w:val="-4"/>
          <w:u w:val="none"/>
        </w:rPr>
        <w:t>s</w:t>
      </w:r>
      <w:r w:rsidRPr="00CC6F12">
        <w:rPr>
          <w:rStyle w:val="WP9Hyperlink"/>
          <w:rFonts w:asciiTheme="minorHAnsi" w:hAnsiTheme="minorHAnsi"/>
          <w:color w:val="000000"/>
          <w:spacing w:val="-4"/>
          <w:u w:val="none"/>
        </w:rPr>
        <w:t xml:space="preserve"> </w:t>
      </w:r>
      <w:r w:rsidR="0017056D" w:rsidRPr="00CC6F12">
        <w:rPr>
          <w:rStyle w:val="WP9Hyperlink"/>
          <w:rFonts w:asciiTheme="minorHAnsi" w:hAnsiTheme="minorHAnsi"/>
          <w:color w:val="000000"/>
          <w:spacing w:val="-4"/>
          <w:u w:val="none"/>
        </w:rPr>
        <w:t>related to</w:t>
      </w:r>
      <w:r w:rsidRPr="00CC6F12">
        <w:rPr>
          <w:rStyle w:val="WP9Hyperlink"/>
          <w:rFonts w:asciiTheme="minorHAnsi" w:hAnsiTheme="minorHAnsi"/>
          <w:color w:val="000000"/>
          <w:spacing w:val="-4"/>
          <w:u w:val="none"/>
        </w:rPr>
        <w:t xml:space="preserve"> milestone adjustments reported for </w:t>
      </w:r>
      <w:r w:rsidR="00B76BF4">
        <w:rPr>
          <w:rStyle w:val="WP9Hyperlink"/>
          <w:rFonts w:asciiTheme="minorHAnsi" w:hAnsiTheme="minorHAnsi"/>
          <w:color w:val="000000"/>
          <w:spacing w:val="-4"/>
          <w:u w:val="none"/>
        </w:rPr>
        <w:t>202</w:t>
      </w:r>
      <w:r w:rsidR="0044301A">
        <w:rPr>
          <w:rStyle w:val="WP9Hyperlink"/>
          <w:rFonts w:asciiTheme="minorHAnsi" w:hAnsiTheme="minorHAnsi"/>
          <w:color w:val="000000"/>
          <w:spacing w:val="-4"/>
          <w:u w:val="none"/>
        </w:rPr>
        <w:t>3</w:t>
      </w:r>
      <w:r w:rsidRPr="00CC6F12">
        <w:rPr>
          <w:rStyle w:val="WP9Hyperlink"/>
          <w:rFonts w:asciiTheme="minorHAnsi" w:hAnsiTheme="minorHAnsi"/>
          <w:color w:val="000000"/>
          <w:spacing w:val="-4"/>
          <w:u w:val="none"/>
        </w:rPr>
        <w:t>.</w:t>
      </w:r>
      <w:r w:rsidR="00BB5AF4" w:rsidRPr="00CC6F12">
        <w:rPr>
          <w:rStyle w:val="WP9Hyperlink"/>
          <w:rFonts w:asciiTheme="minorHAnsi" w:hAnsiTheme="minorHAnsi"/>
          <w:color w:val="000000"/>
          <w:spacing w:val="-4"/>
          <w:u w:val="none"/>
        </w:rPr>
        <w:t xml:space="preserve"> </w:t>
      </w:r>
    </w:p>
    <w:p w14:paraId="4398146B" w14:textId="77777777" w:rsidR="0099781D" w:rsidRPr="005F018D" w:rsidRDefault="008C0AAE" w:rsidP="00BB3A94">
      <w:pPr>
        <w:pStyle w:val="Heading2"/>
        <w:rPr>
          <w:rStyle w:val="WP9Hyperlink"/>
          <w:color w:val="000000"/>
          <w:u w:val="none"/>
        </w:rPr>
      </w:pPr>
      <w:r w:rsidRPr="005F018D">
        <w:rPr>
          <w:rStyle w:val="WP9Hyperlink"/>
          <w:b w:val="0"/>
          <w:color w:val="000000"/>
          <w:szCs w:val="24"/>
          <w:u w:val="none"/>
        </w:rPr>
        <w:t>6</w:t>
      </w:r>
      <w:r w:rsidR="0099781D" w:rsidRPr="005F018D">
        <w:rPr>
          <w:rStyle w:val="WP9Hyperlink"/>
          <w:b w:val="0"/>
          <w:color w:val="000000"/>
          <w:szCs w:val="24"/>
          <w:u w:val="none"/>
        </w:rPr>
        <w:t>.0</w:t>
      </w:r>
      <w:r w:rsidR="005142EC">
        <w:rPr>
          <w:rStyle w:val="WP9Hyperlink"/>
          <w:b w:val="0"/>
          <w:color w:val="000000"/>
          <w:szCs w:val="24"/>
          <w:u w:val="none"/>
        </w:rPr>
        <w:tab/>
      </w:r>
      <w:r w:rsidR="0099781D" w:rsidRPr="005F018D">
        <w:rPr>
          <w:rStyle w:val="WP9Hyperlink"/>
          <w:b w:val="0"/>
          <w:color w:val="000000"/>
          <w:szCs w:val="24"/>
          <w:u w:val="none"/>
        </w:rPr>
        <w:t>Quality Assurance</w:t>
      </w:r>
    </w:p>
    <w:p w14:paraId="3C541D58" w14:textId="05E2B5D5" w:rsidR="0099781D" w:rsidRPr="00CC6F12" w:rsidRDefault="0099781D" w:rsidP="00BB5AF4">
      <w:pPr>
        <w:keepNext/>
        <w:keepLines/>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 xml:space="preserve">The states provided </w:t>
      </w:r>
      <w:r w:rsidR="00B76BF4">
        <w:rPr>
          <w:rStyle w:val="WP9Hyperlink"/>
          <w:rFonts w:asciiTheme="minorHAnsi" w:hAnsiTheme="minorHAnsi"/>
          <w:color w:val="000000"/>
          <w:u w:val="none"/>
        </w:rPr>
        <w:t>202</w:t>
      </w:r>
      <w:r w:rsidR="00C76C9C">
        <w:rPr>
          <w:rStyle w:val="WP9Hyperlink"/>
          <w:rFonts w:asciiTheme="minorHAnsi" w:hAnsiTheme="minorHAnsi"/>
          <w:color w:val="000000"/>
          <w:u w:val="none"/>
        </w:rPr>
        <w:t>3</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emissions data based on their state emissions inventories.</w:t>
      </w:r>
      <w:r w:rsidR="00BB5AF4" w:rsidRPr="00CC6F12">
        <w:rPr>
          <w:rStyle w:val="WP9Hyperlink"/>
          <w:rFonts w:asciiTheme="minorHAnsi" w:hAnsiTheme="minorHAnsi"/>
          <w:color w:val="000000"/>
          <w:u w:val="none"/>
        </w:rPr>
        <w:t xml:space="preserve"> </w:t>
      </w:r>
      <w:r w:rsidR="004A7E9A">
        <w:rPr>
          <w:rStyle w:val="WP9Hyperlink"/>
          <w:rFonts w:asciiTheme="minorHAnsi" w:hAnsiTheme="minorHAnsi"/>
          <w:color w:val="000000"/>
          <w:u w:val="none"/>
        </w:rPr>
        <w:t>States used</w:t>
      </w:r>
      <w:r w:rsidRPr="00CC6F12">
        <w:rPr>
          <w:rStyle w:val="WP9Hyperlink"/>
          <w:rFonts w:asciiTheme="minorHAnsi" w:hAnsiTheme="minorHAnsi"/>
          <w:color w:val="000000"/>
          <w:u w:val="none"/>
        </w:rPr>
        <w:t xml:space="preserve"> additional quality assurance (QA) procedures</w:t>
      </w:r>
      <w:r w:rsidR="004A7E9A">
        <w:rPr>
          <w:rStyle w:val="WP9Hyperlink"/>
          <w:rFonts w:asciiTheme="minorHAnsi" w:hAnsiTheme="minorHAnsi"/>
          <w:color w:val="000000"/>
          <w:u w:val="none"/>
        </w:rPr>
        <w:t xml:space="preserve"> for this report</w:t>
      </w:r>
      <w:r w:rsidRPr="00CC6F12">
        <w:rPr>
          <w:rStyle w:val="WP9Hyperlink"/>
          <w:rFonts w:asciiTheme="minorHAnsi" w:hAnsiTheme="minorHAnsi"/>
          <w:color w:val="000000"/>
          <w:u w:val="none"/>
        </w:rPr>
        <w:t xml:space="preserve"> to supplement the normal QA procedures the states follow for their emissions </w:t>
      </w:r>
      <w:proofErr w:type="gramStart"/>
      <w:r w:rsidRPr="00CC6F12">
        <w:rPr>
          <w:rStyle w:val="WP9Hyperlink"/>
          <w:rFonts w:asciiTheme="minorHAnsi" w:hAnsiTheme="minorHAnsi"/>
          <w:color w:val="000000"/>
          <w:u w:val="none"/>
        </w:rPr>
        <w:t>inventories</w:t>
      </w:r>
      <w:proofErr w:type="gramEnd"/>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004A7E9A">
        <w:rPr>
          <w:rStyle w:val="WP9Hyperlink"/>
          <w:rFonts w:asciiTheme="minorHAnsi" w:hAnsiTheme="minorHAnsi"/>
          <w:color w:val="000000"/>
          <w:u w:val="none"/>
        </w:rPr>
        <w:t>First, e</w:t>
      </w:r>
      <w:r w:rsidRPr="00CC6F12">
        <w:rPr>
          <w:rStyle w:val="WP9Hyperlink"/>
          <w:rFonts w:asciiTheme="minorHAnsi" w:hAnsiTheme="minorHAnsi"/>
          <w:color w:val="000000"/>
          <w:u w:val="none"/>
        </w:rPr>
        <w:t>ach state submitted a source change report, and second, the states compared their inventory data for utility sources against 40 CFR Part 75 Acid Rain Program monitoring data.</w:t>
      </w:r>
    </w:p>
    <w:p w14:paraId="01F695F5" w14:textId="77777777" w:rsidR="0099781D" w:rsidRPr="005F018D" w:rsidRDefault="008C0AAE" w:rsidP="00BB3A94">
      <w:pPr>
        <w:pStyle w:val="Heading2"/>
        <w:rPr>
          <w:rStyle w:val="WP9Hyperlink"/>
          <w:b w:val="0"/>
          <w:color w:val="000000"/>
          <w:szCs w:val="24"/>
          <w:u w:val="none"/>
        </w:rPr>
      </w:pPr>
      <w:r w:rsidRPr="005F018D">
        <w:rPr>
          <w:rStyle w:val="WP9Hyperlink"/>
          <w:b w:val="0"/>
          <w:color w:val="000000"/>
          <w:szCs w:val="24"/>
          <w:u w:val="none"/>
        </w:rPr>
        <w:t>6</w:t>
      </w:r>
      <w:r w:rsidR="0099781D" w:rsidRPr="005F018D">
        <w:rPr>
          <w:rStyle w:val="WP9Hyperlink"/>
          <w:b w:val="0"/>
          <w:color w:val="000000"/>
          <w:szCs w:val="24"/>
          <w:u w:val="none"/>
        </w:rPr>
        <w:t>.1</w:t>
      </w:r>
      <w:r w:rsidR="005142EC">
        <w:rPr>
          <w:rStyle w:val="WP9Hyperlink"/>
          <w:b w:val="0"/>
          <w:color w:val="000000"/>
          <w:szCs w:val="24"/>
          <w:u w:val="none"/>
        </w:rPr>
        <w:tab/>
      </w:r>
      <w:r w:rsidR="0099781D" w:rsidRPr="005F018D">
        <w:rPr>
          <w:rStyle w:val="WP9Hyperlink"/>
          <w:b w:val="0"/>
          <w:color w:val="000000"/>
          <w:szCs w:val="24"/>
          <w:u w:val="none"/>
        </w:rPr>
        <w:t xml:space="preserve">Source Change Report </w:t>
      </w:r>
    </w:p>
    <w:p w14:paraId="6BE39B70" w14:textId="77777777" w:rsidR="0099781D" w:rsidRPr="00CC6F12" w:rsidRDefault="0099781D" w:rsidP="00BB5AF4">
      <w:pPr>
        <w:keepNext/>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The SIPs require that this annual SO</w:t>
      </w:r>
      <w:r w:rsidRPr="00CC6F12">
        <w:rPr>
          <w:rStyle w:val="WP9Hyperlink"/>
          <w:rFonts w:asciiTheme="minorHAnsi" w:hAnsiTheme="minorHAnsi"/>
          <w:color w:val="000000"/>
          <w:u w:val="none"/>
          <w:vertAlign w:val="subscript"/>
        </w:rPr>
        <w:t>2</w:t>
      </w:r>
      <w:r w:rsidRPr="00CC6F12">
        <w:rPr>
          <w:rStyle w:val="WP9Hyperlink"/>
          <w:rFonts w:asciiTheme="minorHAnsi" w:hAnsiTheme="minorHAnsi"/>
          <w:color w:val="000000"/>
          <w:u w:val="none"/>
        </w:rPr>
        <w:t xml:space="preserve"> emissions and milestone report include a description of source changes or exceptions report to identify</w:t>
      </w:r>
      <w:r w:rsidR="00D05E7E" w:rsidRPr="00CC6F12">
        <w:rPr>
          <w:rStyle w:val="WP9Hyperlink"/>
          <w:rFonts w:asciiTheme="minorHAnsi" w:hAnsiTheme="minorHAnsi"/>
          <w:color w:val="000000"/>
          <w:u w:val="none"/>
        </w:rPr>
        <w:t xml:space="preserve"> the following</w:t>
      </w:r>
      <w:r w:rsidRPr="00CC6F12">
        <w:rPr>
          <w:rStyle w:val="WP9Hyperlink"/>
          <w:rFonts w:asciiTheme="minorHAnsi" w:hAnsiTheme="minorHAnsi"/>
          <w:color w:val="000000"/>
          <w:u w:val="none"/>
        </w:rPr>
        <w:t>:</w:t>
      </w:r>
    </w:p>
    <w:p w14:paraId="15CF03D0" w14:textId="77777777" w:rsidR="0099781D" w:rsidRPr="00CC6F12" w:rsidRDefault="0099781D" w:rsidP="00605DC0">
      <w:pPr>
        <w:pStyle w:val="ListParagraph"/>
        <w:numPr>
          <w:ilvl w:val="0"/>
          <w:numId w:val="25"/>
        </w:numPr>
        <w:contextualSpacing w:val="0"/>
        <w:rPr>
          <w:rStyle w:val="WP9Hyperlink"/>
          <w:rFonts w:asciiTheme="minorHAnsi" w:hAnsiTheme="minorHAnsi"/>
          <w:color w:val="000000"/>
          <w:u w:val="none"/>
        </w:rPr>
      </w:pPr>
      <w:r w:rsidRPr="00CC6F12">
        <w:rPr>
          <w:rStyle w:val="WP9Hyperlink"/>
          <w:rFonts w:asciiTheme="minorHAnsi" w:hAnsiTheme="minorHAnsi"/>
          <w:color w:val="000000"/>
          <w:u w:val="none"/>
        </w:rPr>
        <w:t xml:space="preserve">Any new sources that were not contained in the previous calendar year's emissions report, and an explanation of why the sources </w:t>
      </w:r>
      <w:r w:rsidR="005142EC" w:rsidRPr="00CC6F12">
        <w:rPr>
          <w:rStyle w:val="WP9Hyperlink"/>
          <w:rFonts w:asciiTheme="minorHAnsi" w:hAnsiTheme="minorHAnsi"/>
          <w:color w:val="000000"/>
          <w:u w:val="none"/>
        </w:rPr>
        <w:t>are now included in the program.</w:t>
      </w:r>
    </w:p>
    <w:p w14:paraId="41D2112A" w14:textId="77777777" w:rsidR="0099781D" w:rsidRPr="00CC6F12" w:rsidRDefault="0099781D" w:rsidP="00605DC0">
      <w:pPr>
        <w:pStyle w:val="ListParagraph"/>
        <w:numPr>
          <w:ilvl w:val="0"/>
          <w:numId w:val="25"/>
        </w:numPr>
        <w:contextualSpacing w:val="0"/>
        <w:rPr>
          <w:rStyle w:val="WP9Hyperlink"/>
          <w:rFonts w:asciiTheme="minorHAnsi" w:hAnsiTheme="minorHAnsi"/>
          <w:color w:val="000000"/>
          <w:u w:val="none"/>
        </w:rPr>
      </w:pPr>
      <w:r w:rsidRPr="00CC6F12">
        <w:rPr>
          <w:rStyle w:val="WP9Hyperlink"/>
          <w:rFonts w:asciiTheme="minorHAnsi" w:hAnsiTheme="minorHAnsi"/>
          <w:color w:val="000000"/>
          <w:u w:val="none"/>
        </w:rPr>
        <w:t>Identification of any sources that were included in the previous year's report and are no longer included in the program, and an explanation of why this change has occurred</w:t>
      </w:r>
      <w:r w:rsidR="005142EC" w:rsidRPr="00CC6F12">
        <w:rPr>
          <w:rStyle w:val="WP9Hyperlink"/>
          <w:rFonts w:asciiTheme="minorHAnsi" w:hAnsiTheme="minorHAnsi"/>
          <w:color w:val="000000"/>
          <w:u w:val="none"/>
        </w:rPr>
        <w:t>.</w:t>
      </w:r>
    </w:p>
    <w:p w14:paraId="32E9407D" w14:textId="77777777" w:rsidR="0099781D" w:rsidRPr="00CC6F12" w:rsidRDefault="0099781D" w:rsidP="00BB5AF4">
      <w:pPr>
        <w:pStyle w:val="ListParagraph"/>
        <w:numPr>
          <w:ilvl w:val="0"/>
          <w:numId w:val="25"/>
        </w:num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An explanation for emissions variations at any applicable source that exceeds ± 20% from the previous year.</w:t>
      </w:r>
    </w:p>
    <w:p w14:paraId="2513AFB4" w14:textId="77777777" w:rsidR="00634CCB" w:rsidRDefault="0099781D" w:rsidP="00BB5AF4">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r>
      <w:r w:rsidR="00634CCB" w:rsidRPr="00CC6F12">
        <w:rPr>
          <w:rStyle w:val="WP9Hyperlink"/>
          <w:rFonts w:asciiTheme="minorHAnsi" w:hAnsiTheme="minorHAnsi"/>
          <w:color w:val="000000"/>
          <w:u w:val="none"/>
        </w:rPr>
        <w:t xml:space="preserve">Appendix B provides a list of all sources added or removed from the program inventory in </w:t>
      </w:r>
      <w:r w:rsidR="00634CCB">
        <w:rPr>
          <w:rStyle w:val="WP9Hyperlink"/>
          <w:rFonts w:asciiTheme="minorHAnsi" w:hAnsiTheme="minorHAnsi"/>
          <w:color w:val="000000"/>
          <w:u w:val="none"/>
        </w:rPr>
        <w:t xml:space="preserve">this and </w:t>
      </w:r>
      <w:r w:rsidR="00634CCB" w:rsidRPr="00CC6F12">
        <w:rPr>
          <w:rStyle w:val="WP9Hyperlink"/>
          <w:rFonts w:asciiTheme="minorHAnsi" w:hAnsiTheme="minorHAnsi"/>
          <w:color w:val="000000"/>
          <w:u w:val="none"/>
        </w:rPr>
        <w:t>previous reporting years.</w:t>
      </w:r>
    </w:p>
    <w:p w14:paraId="07C5E724" w14:textId="5B525558" w:rsidR="0099781D" w:rsidRPr="005F018D" w:rsidRDefault="0099781D" w:rsidP="00F611C5">
      <w:pPr>
        <w:spacing w:after="200"/>
        <w:ind w:firstLine="720"/>
        <w:rPr>
          <w:rStyle w:val="WP9Hyperlink"/>
          <w:color w:val="000000"/>
          <w:u w:val="none"/>
        </w:rPr>
      </w:pPr>
      <w:r w:rsidRPr="00CC6F12">
        <w:rPr>
          <w:rStyle w:val="WP9Hyperlink"/>
          <w:rFonts w:asciiTheme="minorHAnsi" w:hAnsiTheme="minorHAnsi"/>
          <w:color w:val="000000"/>
          <w:u w:val="none"/>
        </w:rPr>
        <w:t xml:space="preserve">Table </w:t>
      </w:r>
      <w:r w:rsidR="00C136F6">
        <w:rPr>
          <w:rStyle w:val="WP9Hyperlink"/>
          <w:rFonts w:asciiTheme="minorHAnsi" w:hAnsiTheme="minorHAnsi"/>
          <w:color w:val="000000"/>
          <w:u w:val="none"/>
        </w:rPr>
        <w:t>3</w:t>
      </w:r>
      <w:r w:rsidRPr="00CC6F12">
        <w:rPr>
          <w:rStyle w:val="WP9Hyperlink"/>
          <w:rFonts w:asciiTheme="minorHAnsi" w:hAnsiTheme="minorHAnsi"/>
          <w:color w:val="000000"/>
          <w:u w:val="none"/>
        </w:rPr>
        <w:t xml:space="preserve"> provides explanations for the emissions variations from </w:t>
      </w:r>
      <w:r w:rsidR="007E2C9A" w:rsidRPr="00CC6F12">
        <w:rPr>
          <w:rStyle w:val="WP9Hyperlink"/>
          <w:rFonts w:asciiTheme="minorHAnsi" w:hAnsiTheme="minorHAnsi"/>
          <w:color w:val="000000"/>
          <w:u w:val="none"/>
        </w:rPr>
        <w:t xml:space="preserve">applicable sources from </w:t>
      </w:r>
      <w:r w:rsidR="00B76BF4">
        <w:rPr>
          <w:rStyle w:val="WP9Hyperlink"/>
          <w:rFonts w:asciiTheme="minorHAnsi" w:hAnsiTheme="minorHAnsi"/>
          <w:color w:val="000000"/>
          <w:u w:val="none"/>
        </w:rPr>
        <w:t>202</w:t>
      </w:r>
      <w:r w:rsidR="0041261D">
        <w:rPr>
          <w:rStyle w:val="WP9Hyperlink"/>
          <w:rFonts w:asciiTheme="minorHAnsi" w:hAnsiTheme="minorHAnsi"/>
          <w:color w:val="000000"/>
          <w:u w:val="none"/>
        </w:rPr>
        <w:t>2</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 </w:t>
      </w:r>
      <w:r w:rsidR="00B76BF4">
        <w:rPr>
          <w:rStyle w:val="WP9Hyperlink"/>
          <w:rFonts w:asciiTheme="minorHAnsi" w:hAnsiTheme="minorHAnsi"/>
          <w:color w:val="000000"/>
          <w:u w:val="none"/>
        </w:rPr>
        <w:t>202</w:t>
      </w:r>
      <w:r w:rsidR="0041261D">
        <w:rPr>
          <w:rStyle w:val="WP9Hyperlink"/>
          <w:rFonts w:asciiTheme="minorHAnsi" w:hAnsiTheme="minorHAnsi"/>
          <w:color w:val="000000"/>
          <w:u w:val="none"/>
        </w:rPr>
        <w:t>3</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that are greater than 20%.</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Plants with variations greater than 20% but reported emissions of less than 20 tons in both </w:t>
      </w:r>
      <w:r w:rsidR="00B76BF4">
        <w:rPr>
          <w:rStyle w:val="WP9Hyperlink"/>
          <w:rFonts w:asciiTheme="minorHAnsi" w:hAnsiTheme="minorHAnsi"/>
          <w:color w:val="000000"/>
          <w:u w:val="none"/>
        </w:rPr>
        <w:t>202</w:t>
      </w:r>
      <w:r w:rsidR="00257554">
        <w:rPr>
          <w:rStyle w:val="WP9Hyperlink"/>
          <w:rFonts w:asciiTheme="minorHAnsi" w:hAnsiTheme="minorHAnsi"/>
          <w:color w:val="000000"/>
          <w:u w:val="none"/>
        </w:rPr>
        <w:t>2</w:t>
      </w:r>
      <w:r w:rsidR="00210D4E"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 xml:space="preserve">and </w:t>
      </w:r>
      <w:r w:rsidR="00B76BF4">
        <w:rPr>
          <w:rStyle w:val="WP9Hyperlink"/>
          <w:rFonts w:asciiTheme="minorHAnsi" w:hAnsiTheme="minorHAnsi"/>
          <w:color w:val="000000"/>
          <w:u w:val="none"/>
        </w:rPr>
        <w:t>202</w:t>
      </w:r>
      <w:r w:rsidR="00257554">
        <w:rPr>
          <w:rStyle w:val="WP9Hyperlink"/>
          <w:rFonts w:asciiTheme="minorHAnsi" w:hAnsiTheme="minorHAnsi"/>
          <w:color w:val="000000"/>
          <w:u w:val="none"/>
        </w:rPr>
        <w:t>3</w:t>
      </w:r>
      <w:r w:rsidRPr="00CC6F12">
        <w:rPr>
          <w:rStyle w:val="WP9Hyperlink"/>
          <w:rFonts w:asciiTheme="minorHAnsi" w:hAnsiTheme="minorHAnsi"/>
          <w:color w:val="000000"/>
          <w:u w:val="none"/>
        </w:rPr>
        <w:t xml:space="preserve">, are not included in Table </w:t>
      </w:r>
      <w:r w:rsidR="004850F3">
        <w:rPr>
          <w:rStyle w:val="WP9Hyperlink"/>
          <w:rFonts w:asciiTheme="minorHAnsi" w:hAnsiTheme="minorHAnsi"/>
          <w:color w:val="000000"/>
          <w:u w:val="none"/>
        </w:rPr>
        <w:t>3</w:t>
      </w:r>
      <w:r w:rsidRPr="00CC6F12">
        <w:rPr>
          <w:rStyle w:val="WP9Hyperlink"/>
          <w:rFonts w:asciiTheme="minorHAnsi" w:hAnsiTheme="minorHAnsi"/>
          <w:color w:val="000000"/>
          <w:u w:val="none"/>
        </w:rPr>
        <w:t>.</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Information on these plants is provided in Appendix A.</w:t>
      </w:r>
    </w:p>
    <w:p w14:paraId="4E40F864" w14:textId="77777777" w:rsidR="007471FD" w:rsidRPr="005F018D" w:rsidRDefault="007471FD" w:rsidP="00F20E9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Style w:val="WP9Hyperlink"/>
          <w:b/>
          <w:color w:val="000000"/>
          <w:u w:val="none"/>
        </w:rPr>
        <w:sectPr w:rsidR="007471FD" w:rsidRPr="005F018D" w:rsidSect="00CD1084">
          <w:headerReference w:type="even" r:id="rId25"/>
          <w:headerReference w:type="default" r:id="rId26"/>
          <w:footerReference w:type="default" r:id="rId27"/>
          <w:headerReference w:type="first" r:id="rId28"/>
          <w:footnotePr>
            <w:numFmt w:val="lowerLetter"/>
          </w:footnotePr>
          <w:endnotePr>
            <w:numFmt w:val="lowerLetter"/>
          </w:endnotePr>
          <w:pgSz w:w="12240" w:h="15840" w:code="1"/>
          <w:pgMar w:top="720" w:right="1440" w:bottom="720" w:left="1440" w:header="720" w:footer="720" w:gutter="0"/>
          <w:pgNumType w:start="1"/>
          <w:cols w:space="720"/>
          <w:docGrid w:linePitch="326"/>
        </w:sectPr>
      </w:pPr>
    </w:p>
    <w:p w14:paraId="0D971E82" w14:textId="4269B1CA" w:rsidR="008B7C72" w:rsidRPr="008B7C72" w:rsidRDefault="007471FD" w:rsidP="00B75251">
      <w:pPr>
        <w:pStyle w:val="Caption"/>
        <w:spacing w:after="120"/>
      </w:pPr>
      <w:r w:rsidRPr="007D594E">
        <w:lastRenderedPageBreak/>
        <w:t xml:space="preserve">Table </w:t>
      </w:r>
      <w:r w:rsidR="00EF5EBF" w:rsidRPr="007D594E">
        <w:fldChar w:fldCharType="begin"/>
      </w:r>
      <w:r w:rsidRPr="007D594E">
        <w:instrText xml:space="preserve"> SEQ Table \* ARABIC </w:instrText>
      </w:r>
      <w:r w:rsidR="00EF5EBF" w:rsidRPr="007D594E">
        <w:fldChar w:fldCharType="separate"/>
      </w:r>
      <w:r w:rsidR="004850F3" w:rsidRPr="007D594E">
        <w:rPr>
          <w:noProof/>
        </w:rPr>
        <w:t>3</w:t>
      </w:r>
      <w:r w:rsidR="00EF5EBF" w:rsidRPr="007D594E">
        <w:fldChar w:fldCharType="end"/>
      </w:r>
      <w:r w:rsidRPr="007D594E">
        <w:t>.</w:t>
      </w:r>
      <w:r w:rsidR="00BB5AF4" w:rsidRPr="007D594E">
        <w:t xml:space="preserve"> </w:t>
      </w:r>
      <w:r w:rsidRPr="007D594E">
        <w:rPr>
          <w:rStyle w:val="WP9Hyperlink"/>
          <w:color w:val="auto"/>
          <w:u w:val="none"/>
        </w:rPr>
        <w:t>Sources with an Emissions Change</w:t>
      </w:r>
      <w:r w:rsidR="00D04E67" w:rsidRPr="007D594E">
        <w:rPr>
          <w:rStyle w:val="WP9Hyperlink"/>
          <w:color w:val="auto"/>
          <w:u w:val="none"/>
        </w:rPr>
        <w:t xml:space="preserve"> </w:t>
      </w:r>
      <w:r w:rsidRPr="007D594E">
        <w:rPr>
          <w:rStyle w:val="WP9Hyperlink"/>
          <w:color w:val="auto"/>
          <w:u w:val="none"/>
        </w:rPr>
        <w:t>of &gt; ±20% from the Previous Year</w:t>
      </w:r>
    </w:p>
    <w:tbl>
      <w:tblPr>
        <w:tblW w:w="14305" w:type="dxa"/>
        <w:tblBorders>
          <w:top w:val="single" w:sz="4" w:space="0" w:color="AEC1E3" w:themeColor="text2" w:themeTint="66"/>
          <w:left w:val="single" w:sz="4" w:space="0" w:color="AEC1E3" w:themeColor="text2" w:themeTint="66"/>
          <w:bottom w:val="single" w:sz="4" w:space="0" w:color="AEC1E3" w:themeColor="text2" w:themeTint="66"/>
          <w:right w:val="single" w:sz="4" w:space="0" w:color="AEC1E3" w:themeColor="text2" w:themeTint="66"/>
          <w:insideH w:val="single" w:sz="4" w:space="0" w:color="AEC1E3" w:themeColor="text2" w:themeTint="66"/>
          <w:insideV w:val="single" w:sz="4" w:space="0" w:color="AEC1E3" w:themeColor="text2" w:themeTint="66"/>
        </w:tblBorders>
        <w:tblCellMar>
          <w:top w:w="29" w:type="dxa"/>
          <w:bottom w:w="43" w:type="dxa"/>
        </w:tblCellMar>
        <w:tblLook w:val="0420" w:firstRow="1" w:lastRow="0" w:firstColumn="0" w:lastColumn="0" w:noHBand="0" w:noVBand="1"/>
      </w:tblPr>
      <w:tblGrid>
        <w:gridCol w:w="666"/>
        <w:gridCol w:w="846"/>
        <w:gridCol w:w="1179"/>
        <w:gridCol w:w="3167"/>
        <w:gridCol w:w="1214"/>
        <w:gridCol w:w="1078"/>
        <w:gridCol w:w="1168"/>
        <w:gridCol w:w="4987"/>
      </w:tblGrid>
      <w:tr w:rsidR="00F12AF5" w:rsidRPr="008B7C72" w14:paraId="6E4FEBF2" w14:textId="77777777" w:rsidTr="5A056A28">
        <w:trPr>
          <w:cantSplit/>
          <w:trHeight w:val="1050"/>
          <w:tblHeader/>
        </w:trPr>
        <w:tc>
          <w:tcPr>
            <w:tcW w:w="666"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20249A4B" w14:textId="7777777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 xml:space="preserve">State </w:t>
            </w:r>
          </w:p>
        </w:tc>
        <w:tc>
          <w:tcPr>
            <w:tcW w:w="846"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373FFCDF" w14:textId="7777777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County FIPS</w:t>
            </w:r>
          </w:p>
        </w:tc>
        <w:tc>
          <w:tcPr>
            <w:tcW w:w="1179"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2CD4D7BF" w14:textId="7777777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State Facility Identifier</w:t>
            </w:r>
          </w:p>
        </w:tc>
        <w:tc>
          <w:tcPr>
            <w:tcW w:w="3167"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7C6580F7" w14:textId="7777777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Plant Name</w:t>
            </w:r>
          </w:p>
        </w:tc>
        <w:tc>
          <w:tcPr>
            <w:tcW w:w="1214"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5D1187FA" w14:textId="608E8D79" w:rsidR="00F12AF5" w:rsidRPr="008B7C72" w:rsidRDefault="5A056A28" w:rsidP="5A056A28">
            <w:pPr>
              <w:spacing w:line="240" w:lineRule="auto"/>
              <w:jc w:val="center"/>
              <w:rPr>
                <w:rFonts w:asciiTheme="majorHAnsi" w:hAnsiTheme="majorHAnsi" w:cstheme="majorBidi"/>
                <w:b/>
                <w:bCs/>
                <w:sz w:val="18"/>
                <w:szCs w:val="18"/>
              </w:rPr>
            </w:pPr>
            <w:r w:rsidRPr="5A056A28">
              <w:rPr>
                <w:rFonts w:asciiTheme="majorHAnsi" w:hAnsiTheme="majorHAnsi" w:cstheme="majorBidi"/>
                <w:b/>
                <w:bCs/>
                <w:sz w:val="18"/>
                <w:szCs w:val="18"/>
              </w:rPr>
              <w:t>Reported 202</w:t>
            </w:r>
            <w:r w:rsidR="002573C6">
              <w:rPr>
                <w:rFonts w:asciiTheme="majorHAnsi" w:hAnsiTheme="majorHAnsi" w:cstheme="majorBidi"/>
                <w:b/>
                <w:bCs/>
                <w:sz w:val="18"/>
                <w:szCs w:val="18"/>
              </w:rPr>
              <w:t>2</w:t>
            </w:r>
            <w:r w:rsidRPr="5A056A28">
              <w:rPr>
                <w:rFonts w:asciiTheme="majorHAnsi" w:hAnsiTheme="majorHAnsi" w:cstheme="majorBidi"/>
                <w:b/>
                <w:bCs/>
                <w:sz w:val="18"/>
                <w:szCs w:val="18"/>
              </w:rPr>
              <w:t xml:space="preserve"> SO</w:t>
            </w:r>
            <w:r w:rsidRPr="5A056A28">
              <w:rPr>
                <w:rFonts w:asciiTheme="majorHAnsi" w:hAnsiTheme="majorHAnsi" w:cstheme="majorBidi"/>
                <w:b/>
                <w:bCs/>
                <w:sz w:val="18"/>
                <w:szCs w:val="18"/>
                <w:vertAlign w:val="subscript"/>
              </w:rPr>
              <w:t>2</w:t>
            </w:r>
            <w:r w:rsidRPr="5A056A28">
              <w:rPr>
                <w:rFonts w:asciiTheme="majorHAnsi" w:hAnsiTheme="majorHAnsi" w:cstheme="majorBidi"/>
                <w:b/>
                <w:bCs/>
                <w:sz w:val="18"/>
                <w:szCs w:val="18"/>
              </w:rPr>
              <w:t xml:space="preserve"> Emissions (tons)</w:t>
            </w:r>
          </w:p>
        </w:tc>
        <w:tc>
          <w:tcPr>
            <w:tcW w:w="1078"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049A7297" w14:textId="0B98BFBF"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 xml:space="preserve">Reported </w:t>
            </w:r>
            <w:r w:rsidR="00B76BF4" w:rsidRPr="008B7C72">
              <w:rPr>
                <w:rFonts w:asciiTheme="majorHAnsi" w:hAnsiTheme="majorHAnsi" w:cstheme="majorHAnsi"/>
                <w:b/>
                <w:bCs/>
                <w:sz w:val="18"/>
                <w:szCs w:val="18"/>
              </w:rPr>
              <w:t>202</w:t>
            </w:r>
            <w:r w:rsidR="002573C6">
              <w:rPr>
                <w:rFonts w:asciiTheme="majorHAnsi" w:hAnsiTheme="majorHAnsi" w:cstheme="majorHAnsi"/>
                <w:b/>
                <w:bCs/>
                <w:sz w:val="18"/>
                <w:szCs w:val="18"/>
              </w:rPr>
              <w:t>3</w:t>
            </w:r>
            <w:r w:rsidRPr="008B7C72">
              <w:rPr>
                <w:rFonts w:asciiTheme="majorHAnsi" w:hAnsiTheme="majorHAnsi" w:cstheme="majorHAnsi"/>
                <w:b/>
                <w:bCs/>
                <w:sz w:val="18"/>
                <w:szCs w:val="18"/>
              </w:rPr>
              <w:t xml:space="preserve"> SO</w:t>
            </w:r>
            <w:r w:rsidRPr="008B7C72">
              <w:rPr>
                <w:rFonts w:asciiTheme="majorHAnsi" w:hAnsiTheme="majorHAnsi" w:cstheme="majorHAnsi"/>
                <w:b/>
                <w:bCs/>
                <w:sz w:val="18"/>
                <w:szCs w:val="18"/>
                <w:vertAlign w:val="subscript"/>
              </w:rPr>
              <w:t>2</w:t>
            </w:r>
            <w:r w:rsidRPr="008B7C72">
              <w:rPr>
                <w:rFonts w:asciiTheme="majorHAnsi" w:hAnsiTheme="majorHAnsi" w:cstheme="majorHAnsi"/>
                <w:b/>
                <w:bCs/>
                <w:sz w:val="18"/>
                <w:szCs w:val="18"/>
              </w:rPr>
              <w:t xml:space="preserve"> Emissions (tons)</w:t>
            </w:r>
          </w:p>
        </w:tc>
        <w:tc>
          <w:tcPr>
            <w:tcW w:w="1168"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342ACC7E" w14:textId="7777777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 Change</w:t>
            </w:r>
          </w:p>
        </w:tc>
        <w:tc>
          <w:tcPr>
            <w:tcW w:w="4987" w:type="dxa"/>
            <w:tcBorders>
              <w:top w:val="single" w:sz="4" w:space="0" w:color="auto"/>
              <w:left w:val="single" w:sz="4" w:space="0" w:color="auto"/>
              <w:bottom w:val="single" w:sz="4" w:space="0" w:color="auto"/>
              <w:right w:val="single" w:sz="4" w:space="0" w:color="auto"/>
            </w:tcBorders>
            <w:shd w:val="clear" w:color="auto" w:fill="EEECE1"/>
            <w:vAlign w:val="bottom"/>
            <w:hideMark/>
          </w:tcPr>
          <w:p w14:paraId="68F3DC1B" w14:textId="22D361D7" w:rsidR="00F12AF5" w:rsidRPr="008B7C72" w:rsidRDefault="00F12AF5" w:rsidP="00F12AF5">
            <w:pPr>
              <w:spacing w:line="240" w:lineRule="auto"/>
              <w:jc w:val="center"/>
              <w:rPr>
                <w:rFonts w:asciiTheme="majorHAnsi" w:hAnsiTheme="majorHAnsi" w:cstheme="majorHAnsi"/>
                <w:b/>
                <w:bCs/>
                <w:sz w:val="18"/>
                <w:szCs w:val="18"/>
              </w:rPr>
            </w:pPr>
            <w:r w:rsidRPr="008B7C72">
              <w:rPr>
                <w:rFonts w:asciiTheme="majorHAnsi" w:hAnsiTheme="majorHAnsi" w:cstheme="majorHAnsi"/>
                <w:b/>
                <w:bCs/>
                <w:sz w:val="18"/>
                <w:szCs w:val="18"/>
              </w:rPr>
              <w:t>Description Change &gt; ±20%</w:t>
            </w:r>
            <w:r w:rsidRPr="008B7C72">
              <w:rPr>
                <w:rFonts w:asciiTheme="majorHAnsi" w:hAnsiTheme="majorHAnsi" w:cstheme="majorHAnsi"/>
                <w:b/>
                <w:bCs/>
                <w:sz w:val="18"/>
                <w:szCs w:val="18"/>
              </w:rPr>
              <w:br/>
            </w:r>
            <w:r w:rsidR="00B76BF4" w:rsidRPr="008B7C72">
              <w:rPr>
                <w:rFonts w:asciiTheme="majorHAnsi" w:hAnsiTheme="majorHAnsi" w:cstheme="majorHAnsi"/>
                <w:b/>
                <w:bCs/>
                <w:sz w:val="18"/>
                <w:szCs w:val="18"/>
              </w:rPr>
              <w:t>202</w:t>
            </w:r>
            <w:r w:rsidR="002573C6">
              <w:rPr>
                <w:rFonts w:asciiTheme="majorHAnsi" w:hAnsiTheme="majorHAnsi" w:cstheme="majorHAnsi"/>
                <w:b/>
                <w:bCs/>
                <w:sz w:val="18"/>
                <w:szCs w:val="18"/>
              </w:rPr>
              <w:t>2</w:t>
            </w:r>
            <w:r w:rsidRPr="008B7C72">
              <w:rPr>
                <w:rFonts w:asciiTheme="majorHAnsi" w:hAnsiTheme="majorHAnsi" w:cstheme="majorHAnsi"/>
                <w:b/>
                <w:bCs/>
                <w:sz w:val="18"/>
                <w:szCs w:val="18"/>
              </w:rPr>
              <w:t xml:space="preserve"> to </w:t>
            </w:r>
            <w:r w:rsidR="00B76BF4" w:rsidRPr="008B7C72">
              <w:rPr>
                <w:rFonts w:asciiTheme="majorHAnsi" w:hAnsiTheme="majorHAnsi" w:cstheme="majorHAnsi"/>
                <w:b/>
                <w:bCs/>
                <w:sz w:val="18"/>
                <w:szCs w:val="18"/>
              </w:rPr>
              <w:t>202</w:t>
            </w:r>
            <w:r w:rsidR="002573C6">
              <w:rPr>
                <w:rFonts w:asciiTheme="majorHAnsi" w:hAnsiTheme="majorHAnsi" w:cstheme="majorHAnsi"/>
                <w:b/>
                <w:bCs/>
                <w:sz w:val="18"/>
                <w:szCs w:val="18"/>
              </w:rPr>
              <w:t>3</w:t>
            </w:r>
          </w:p>
        </w:tc>
      </w:tr>
      <w:tr w:rsidR="00DF6D6F" w:rsidRPr="008B7C72" w14:paraId="7F04C80C"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D2C2542"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219E5867"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52B231F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350150024</w:t>
            </w:r>
          </w:p>
        </w:tc>
        <w:tc>
          <w:tcPr>
            <w:tcW w:w="3167" w:type="dxa"/>
            <w:tcBorders>
              <w:top w:val="single" w:sz="4" w:space="0" w:color="auto"/>
              <w:left w:val="nil"/>
              <w:bottom w:val="single" w:sz="4" w:space="0" w:color="auto"/>
              <w:right w:val="nil"/>
            </w:tcBorders>
            <w:shd w:val="clear" w:color="auto" w:fill="auto"/>
            <w:vAlign w:val="center"/>
          </w:tcPr>
          <w:p w14:paraId="1933ED09"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Agave Energy Co./Agave Dagger Draw Gas Plant AI211</w:t>
            </w:r>
          </w:p>
        </w:tc>
        <w:tc>
          <w:tcPr>
            <w:tcW w:w="1214" w:type="dxa"/>
            <w:tcBorders>
              <w:top w:val="single" w:sz="4" w:space="0" w:color="auto"/>
              <w:left w:val="nil"/>
              <w:bottom w:val="single" w:sz="4" w:space="0" w:color="auto"/>
              <w:right w:val="nil"/>
            </w:tcBorders>
            <w:shd w:val="clear" w:color="auto" w:fill="auto"/>
            <w:vAlign w:val="center"/>
          </w:tcPr>
          <w:p w14:paraId="781921FF" w14:textId="06E23076"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926</w:t>
            </w:r>
          </w:p>
        </w:tc>
        <w:tc>
          <w:tcPr>
            <w:tcW w:w="1078" w:type="dxa"/>
            <w:tcBorders>
              <w:top w:val="single" w:sz="4" w:space="0" w:color="auto"/>
              <w:left w:val="nil"/>
              <w:bottom w:val="single" w:sz="4" w:space="0" w:color="auto"/>
              <w:right w:val="nil"/>
            </w:tcBorders>
            <w:shd w:val="clear" w:color="auto" w:fill="auto"/>
            <w:vAlign w:val="center"/>
          </w:tcPr>
          <w:p w14:paraId="773A2886" w14:textId="2E69D7B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299</w:t>
            </w:r>
          </w:p>
        </w:tc>
        <w:tc>
          <w:tcPr>
            <w:tcW w:w="1168" w:type="dxa"/>
            <w:tcBorders>
              <w:top w:val="single" w:sz="4" w:space="0" w:color="auto"/>
              <w:left w:val="nil"/>
              <w:bottom w:val="single" w:sz="4" w:space="0" w:color="auto"/>
              <w:right w:val="nil"/>
            </w:tcBorders>
            <w:shd w:val="clear" w:color="auto" w:fill="auto"/>
            <w:vAlign w:val="center"/>
          </w:tcPr>
          <w:p w14:paraId="0D31844F"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-68%</w:t>
            </w:r>
          </w:p>
        </w:tc>
        <w:tc>
          <w:tcPr>
            <w:tcW w:w="4987" w:type="dxa"/>
            <w:tcBorders>
              <w:top w:val="single" w:sz="4" w:space="0" w:color="auto"/>
              <w:left w:val="nil"/>
              <w:bottom w:val="single" w:sz="4" w:space="0" w:color="auto"/>
              <w:right w:val="single" w:sz="4" w:space="0" w:color="auto"/>
            </w:tcBorders>
            <w:shd w:val="clear" w:color="auto" w:fill="auto"/>
            <w:vAlign w:val="center"/>
          </w:tcPr>
          <w:p w14:paraId="3FAD8644" w14:textId="719FF035"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decrease in emissions was related to reducing flaring on the amine waste gas system.</w:t>
            </w:r>
            <w:r w:rsidR="00294FC5" w:rsidRPr="008B7C72">
              <w:rPr>
                <w:rFonts w:asciiTheme="majorHAnsi" w:hAnsiTheme="majorHAnsi" w:cstheme="majorHAnsi"/>
                <w:sz w:val="18"/>
                <w:szCs w:val="18"/>
              </w:rPr>
              <w:t xml:space="preserve"> </w:t>
            </w:r>
            <w:r w:rsidRPr="00DF6D6F">
              <w:rPr>
                <w:rFonts w:asciiTheme="majorHAnsi" w:hAnsiTheme="majorHAnsi" w:cstheme="majorHAnsi"/>
                <w:sz w:val="18"/>
                <w:szCs w:val="18"/>
              </w:rPr>
              <w:t>Redundant acid gas injection compressors were put online at the plant to ensure if one unit went down on an automated shutdown, that the redundant unit would pick up the load and continue injecting acid gas into the disposal well rather than having the system overpressure and route to flare.</w:t>
            </w:r>
          </w:p>
        </w:tc>
      </w:tr>
      <w:tr w:rsidR="00DF6D6F" w:rsidRPr="008B7C72" w14:paraId="0F16BC0A"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57B8365"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1E6CB07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4ABA283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350150002</w:t>
            </w:r>
          </w:p>
        </w:tc>
        <w:tc>
          <w:tcPr>
            <w:tcW w:w="3167" w:type="dxa"/>
            <w:tcBorders>
              <w:top w:val="single" w:sz="4" w:space="0" w:color="auto"/>
              <w:left w:val="nil"/>
              <w:bottom w:val="single" w:sz="4" w:space="0" w:color="auto"/>
              <w:right w:val="nil"/>
            </w:tcBorders>
            <w:shd w:val="clear" w:color="auto" w:fill="auto"/>
            <w:vAlign w:val="center"/>
          </w:tcPr>
          <w:p w14:paraId="62A65452" w14:textId="2367AA74"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Frontier Field Services /Empire Abo Plant [Old name:</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Arco Permian/Empire Abo Plant; BP America Production] AI 191</w:t>
            </w:r>
          </w:p>
        </w:tc>
        <w:tc>
          <w:tcPr>
            <w:tcW w:w="1214" w:type="dxa"/>
            <w:tcBorders>
              <w:top w:val="single" w:sz="4" w:space="0" w:color="auto"/>
              <w:left w:val="nil"/>
              <w:bottom w:val="single" w:sz="4" w:space="0" w:color="auto"/>
              <w:right w:val="nil"/>
            </w:tcBorders>
            <w:shd w:val="clear" w:color="auto" w:fill="auto"/>
            <w:vAlign w:val="center"/>
          </w:tcPr>
          <w:p w14:paraId="21FDB56B" w14:textId="2D86425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142</w:t>
            </w:r>
          </w:p>
        </w:tc>
        <w:tc>
          <w:tcPr>
            <w:tcW w:w="1078" w:type="dxa"/>
            <w:tcBorders>
              <w:top w:val="single" w:sz="4" w:space="0" w:color="auto"/>
              <w:left w:val="nil"/>
              <w:bottom w:val="single" w:sz="4" w:space="0" w:color="auto"/>
              <w:right w:val="nil"/>
            </w:tcBorders>
            <w:shd w:val="clear" w:color="auto" w:fill="auto"/>
            <w:vAlign w:val="center"/>
          </w:tcPr>
          <w:p w14:paraId="1D25855E" w14:textId="12AB7419"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186</w:t>
            </w:r>
          </w:p>
        </w:tc>
        <w:tc>
          <w:tcPr>
            <w:tcW w:w="1168" w:type="dxa"/>
            <w:tcBorders>
              <w:top w:val="single" w:sz="4" w:space="0" w:color="auto"/>
              <w:left w:val="nil"/>
              <w:bottom w:val="single" w:sz="4" w:space="0" w:color="auto"/>
              <w:right w:val="nil"/>
            </w:tcBorders>
            <w:shd w:val="clear" w:color="auto" w:fill="auto"/>
            <w:vAlign w:val="center"/>
          </w:tcPr>
          <w:p w14:paraId="437A232B"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31%</w:t>
            </w:r>
          </w:p>
        </w:tc>
        <w:tc>
          <w:tcPr>
            <w:tcW w:w="4987" w:type="dxa"/>
            <w:tcBorders>
              <w:top w:val="single" w:sz="4" w:space="0" w:color="auto"/>
              <w:left w:val="nil"/>
              <w:bottom w:val="single" w:sz="4" w:space="0" w:color="auto"/>
              <w:right w:val="single" w:sz="4" w:space="0" w:color="auto"/>
            </w:tcBorders>
            <w:shd w:val="clear" w:color="auto" w:fill="auto"/>
            <w:vAlign w:val="center"/>
          </w:tcPr>
          <w:p w14:paraId="3FA3EF0E" w14:textId="163E5DC4"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An increase in the volume of flared gas in 2023 versus 2022.</w:t>
            </w:r>
            <w:r w:rsidR="00294FC5" w:rsidRPr="008B7C72">
              <w:rPr>
                <w:rFonts w:asciiTheme="majorHAnsi" w:hAnsiTheme="majorHAnsi" w:cstheme="majorHAnsi"/>
                <w:sz w:val="18"/>
                <w:szCs w:val="18"/>
              </w:rPr>
              <w:t xml:space="preserve"> </w:t>
            </w:r>
            <w:r w:rsidRPr="00DF6D6F">
              <w:rPr>
                <w:rFonts w:asciiTheme="majorHAnsi" w:hAnsiTheme="majorHAnsi" w:cstheme="majorHAnsi"/>
                <w:sz w:val="18"/>
                <w:szCs w:val="18"/>
              </w:rPr>
              <w:t>The H</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S content of the gas went down slightly in 2023, but the volumes were up 34%, resulting in an overall 31% SO2 emissions increase.</w:t>
            </w:r>
          </w:p>
        </w:tc>
      </w:tr>
      <w:tr w:rsidR="00DF6D6F" w:rsidRPr="008B7C72" w14:paraId="16771D14"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63877D6"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6F5A5363"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773DE68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350150011</w:t>
            </w:r>
          </w:p>
        </w:tc>
        <w:tc>
          <w:tcPr>
            <w:tcW w:w="3167" w:type="dxa"/>
            <w:tcBorders>
              <w:top w:val="single" w:sz="4" w:space="0" w:color="auto"/>
              <w:left w:val="nil"/>
              <w:bottom w:val="single" w:sz="4" w:space="0" w:color="auto"/>
              <w:right w:val="nil"/>
            </w:tcBorders>
            <w:shd w:val="clear" w:color="auto" w:fill="auto"/>
            <w:vAlign w:val="center"/>
          </w:tcPr>
          <w:p w14:paraId="1CC2136D"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DCP Midstream/Artesia Gas Plant</w:t>
            </w:r>
          </w:p>
        </w:tc>
        <w:tc>
          <w:tcPr>
            <w:tcW w:w="1214" w:type="dxa"/>
            <w:tcBorders>
              <w:top w:val="single" w:sz="4" w:space="0" w:color="auto"/>
              <w:left w:val="nil"/>
              <w:bottom w:val="single" w:sz="4" w:space="0" w:color="auto"/>
              <w:right w:val="nil"/>
            </w:tcBorders>
            <w:shd w:val="clear" w:color="auto" w:fill="auto"/>
            <w:vAlign w:val="center"/>
          </w:tcPr>
          <w:p w14:paraId="5C700799" w14:textId="5691A5EB"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21</w:t>
            </w:r>
          </w:p>
        </w:tc>
        <w:tc>
          <w:tcPr>
            <w:tcW w:w="1078" w:type="dxa"/>
            <w:tcBorders>
              <w:top w:val="single" w:sz="4" w:space="0" w:color="auto"/>
              <w:left w:val="nil"/>
              <w:bottom w:val="single" w:sz="4" w:space="0" w:color="auto"/>
              <w:right w:val="nil"/>
            </w:tcBorders>
            <w:shd w:val="clear" w:color="auto" w:fill="auto"/>
            <w:vAlign w:val="center"/>
          </w:tcPr>
          <w:p w14:paraId="50E071F7" w14:textId="2C97031C"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w:t>
            </w:r>
          </w:p>
        </w:tc>
        <w:tc>
          <w:tcPr>
            <w:tcW w:w="1168" w:type="dxa"/>
            <w:tcBorders>
              <w:top w:val="single" w:sz="4" w:space="0" w:color="auto"/>
              <w:left w:val="nil"/>
              <w:bottom w:val="single" w:sz="4" w:space="0" w:color="auto"/>
              <w:right w:val="nil"/>
            </w:tcBorders>
            <w:shd w:val="clear" w:color="auto" w:fill="auto"/>
            <w:vAlign w:val="center"/>
          </w:tcPr>
          <w:p w14:paraId="4D80F47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67%</w:t>
            </w:r>
          </w:p>
        </w:tc>
        <w:tc>
          <w:tcPr>
            <w:tcW w:w="4987" w:type="dxa"/>
            <w:tcBorders>
              <w:top w:val="single" w:sz="4" w:space="0" w:color="auto"/>
              <w:left w:val="nil"/>
              <w:bottom w:val="single" w:sz="4" w:space="0" w:color="auto"/>
              <w:right w:val="single" w:sz="4" w:space="0" w:color="auto"/>
            </w:tcBorders>
            <w:shd w:val="clear" w:color="auto" w:fill="auto"/>
            <w:vAlign w:val="center"/>
          </w:tcPr>
          <w:p w14:paraId="672F23A3"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Valve on the acid gas injection pump failure.</w:t>
            </w:r>
          </w:p>
        </w:tc>
      </w:tr>
      <w:tr w:rsidR="00DF6D6F" w:rsidRPr="008B7C72" w14:paraId="211A6165"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2A33B37"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7B239A9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1FEED5E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350250035</w:t>
            </w:r>
          </w:p>
        </w:tc>
        <w:tc>
          <w:tcPr>
            <w:tcW w:w="3167" w:type="dxa"/>
            <w:tcBorders>
              <w:top w:val="single" w:sz="4" w:space="0" w:color="auto"/>
              <w:left w:val="nil"/>
              <w:bottom w:val="single" w:sz="4" w:space="0" w:color="auto"/>
              <w:right w:val="nil"/>
            </w:tcBorders>
            <w:shd w:val="clear" w:color="auto" w:fill="auto"/>
            <w:vAlign w:val="center"/>
          </w:tcPr>
          <w:p w14:paraId="289084D7" w14:textId="5B02F463"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DCP Midstream/Linam Ranch Gas Plant [Old name:</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GPM GAS/LINAM RANCH GAS PLANT]</w:t>
            </w:r>
          </w:p>
        </w:tc>
        <w:tc>
          <w:tcPr>
            <w:tcW w:w="1214" w:type="dxa"/>
            <w:tcBorders>
              <w:top w:val="single" w:sz="4" w:space="0" w:color="auto"/>
              <w:left w:val="nil"/>
              <w:bottom w:val="single" w:sz="4" w:space="0" w:color="auto"/>
              <w:right w:val="nil"/>
            </w:tcBorders>
            <w:shd w:val="clear" w:color="auto" w:fill="auto"/>
            <w:vAlign w:val="center"/>
          </w:tcPr>
          <w:p w14:paraId="4B44ECFE" w14:textId="385F21B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36</w:t>
            </w:r>
          </w:p>
        </w:tc>
        <w:tc>
          <w:tcPr>
            <w:tcW w:w="1078" w:type="dxa"/>
            <w:tcBorders>
              <w:top w:val="single" w:sz="4" w:space="0" w:color="auto"/>
              <w:left w:val="nil"/>
              <w:bottom w:val="single" w:sz="4" w:space="0" w:color="auto"/>
              <w:right w:val="nil"/>
            </w:tcBorders>
            <w:shd w:val="clear" w:color="auto" w:fill="auto"/>
            <w:vAlign w:val="center"/>
          </w:tcPr>
          <w:p w14:paraId="2E44B1A7" w14:textId="349E1DF6"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w:t>
            </w:r>
          </w:p>
        </w:tc>
        <w:tc>
          <w:tcPr>
            <w:tcW w:w="1168" w:type="dxa"/>
            <w:tcBorders>
              <w:top w:val="single" w:sz="4" w:space="0" w:color="auto"/>
              <w:left w:val="nil"/>
              <w:bottom w:val="single" w:sz="4" w:space="0" w:color="auto"/>
              <w:right w:val="nil"/>
            </w:tcBorders>
            <w:shd w:val="clear" w:color="auto" w:fill="auto"/>
            <w:vAlign w:val="center"/>
          </w:tcPr>
          <w:p w14:paraId="1C60244B"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-73%</w:t>
            </w:r>
          </w:p>
        </w:tc>
        <w:tc>
          <w:tcPr>
            <w:tcW w:w="4987" w:type="dxa"/>
            <w:tcBorders>
              <w:top w:val="single" w:sz="4" w:space="0" w:color="auto"/>
              <w:left w:val="nil"/>
              <w:bottom w:val="single" w:sz="4" w:space="0" w:color="auto"/>
              <w:right w:val="single" w:sz="4" w:space="0" w:color="auto"/>
            </w:tcBorders>
            <w:shd w:val="clear" w:color="auto" w:fill="auto"/>
            <w:vAlign w:val="center"/>
          </w:tcPr>
          <w:p w14:paraId="2F5D15C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H</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S concentration in the fuel gas was reduced in 2023.</w:t>
            </w:r>
          </w:p>
        </w:tc>
      </w:tr>
      <w:tr w:rsidR="00DF6D6F" w:rsidRPr="008B7C72" w14:paraId="5AE03564"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0C172634"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6F214971"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6B0B68DD"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350250060</w:t>
            </w:r>
          </w:p>
        </w:tc>
        <w:tc>
          <w:tcPr>
            <w:tcW w:w="3167" w:type="dxa"/>
            <w:tcBorders>
              <w:top w:val="single" w:sz="4" w:space="0" w:color="auto"/>
              <w:left w:val="nil"/>
              <w:bottom w:val="single" w:sz="4" w:space="0" w:color="auto"/>
              <w:right w:val="nil"/>
            </w:tcBorders>
            <w:shd w:val="clear" w:color="auto" w:fill="auto"/>
            <w:vAlign w:val="center"/>
          </w:tcPr>
          <w:p w14:paraId="2FC2C705" w14:textId="1B666869"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VERSADO GAS PROCESSORS, LP/Eunice Gas Plant [Old name:</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WARREN PETROLEUM/EUNICE GAS PLANT] AI 609</w:t>
            </w:r>
          </w:p>
        </w:tc>
        <w:tc>
          <w:tcPr>
            <w:tcW w:w="1214" w:type="dxa"/>
            <w:tcBorders>
              <w:top w:val="single" w:sz="4" w:space="0" w:color="auto"/>
              <w:left w:val="nil"/>
              <w:bottom w:val="single" w:sz="4" w:space="0" w:color="auto"/>
              <w:right w:val="nil"/>
            </w:tcBorders>
            <w:shd w:val="clear" w:color="auto" w:fill="auto"/>
            <w:vAlign w:val="center"/>
          </w:tcPr>
          <w:p w14:paraId="5E59D179" w14:textId="30F0391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150</w:t>
            </w:r>
          </w:p>
        </w:tc>
        <w:tc>
          <w:tcPr>
            <w:tcW w:w="1078" w:type="dxa"/>
            <w:tcBorders>
              <w:top w:val="single" w:sz="4" w:space="0" w:color="auto"/>
              <w:left w:val="nil"/>
              <w:bottom w:val="single" w:sz="4" w:space="0" w:color="auto"/>
              <w:right w:val="nil"/>
            </w:tcBorders>
            <w:shd w:val="clear" w:color="auto" w:fill="auto"/>
            <w:vAlign w:val="center"/>
          </w:tcPr>
          <w:p w14:paraId="36C5F3D0" w14:textId="0ACAEF3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87</w:t>
            </w:r>
          </w:p>
        </w:tc>
        <w:tc>
          <w:tcPr>
            <w:tcW w:w="1168" w:type="dxa"/>
            <w:tcBorders>
              <w:top w:val="single" w:sz="4" w:space="0" w:color="auto"/>
              <w:left w:val="nil"/>
              <w:bottom w:val="single" w:sz="4" w:space="0" w:color="auto"/>
              <w:right w:val="nil"/>
            </w:tcBorders>
            <w:shd w:val="clear" w:color="auto" w:fill="auto"/>
            <w:vAlign w:val="center"/>
          </w:tcPr>
          <w:p w14:paraId="632738C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-42%</w:t>
            </w:r>
          </w:p>
        </w:tc>
        <w:tc>
          <w:tcPr>
            <w:tcW w:w="4987" w:type="dxa"/>
            <w:tcBorders>
              <w:top w:val="single" w:sz="4" w:space="0" w:color="auto"/>
              <w:left w:val="nil"/>
              <w:bottom w:val="single" w:sz="4" w:space="0" w:color="auto"/>
              <w:right w:val="single" w:sz="4" w:space="0" w:color="auto"/>
            </w:tcBorders>
            <w:shd w:val="clear" w:color="auto" w:fill="auto"/>
            <w:vAlign w:val="center"/>
          </w:tcPr>
          <w:p w14:paraId="72B9BEF8"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reduction is due to less acid gas flaring year over year at the Eunice Gas Plant.</w:t>
            </w:r>
          </w:p>
        </w:tc>
      </w:tr>
      <w:tr w:rsidR="00DF6D6F" w:rsidRPr="008B7C72" w14:paraId="7AC95D8F"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666D1C8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02ED94F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6F7944C3"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350250004</w:t>
            </w:r>
          </w:p>
        </w:tc>
        <w:tc>
          <w:tcPr>
            <w:tcW w:w="3167" w:type="dxa"/>
            <w:tcBorders>
              <w:top w:val="single" w:sz="4" w:space="0" w:color="auto"/>
              <w:left w:val="nil"/>
              <w:bottom w:val="single" w:sz="4" w:space="0" w:color="auto"/>
              <w:right w:val="nil"/>
            </w:tcBorders>
            <w:shd w:val="clear" w:color="auto" w:fill="auto"/>
            <w:vAlign w:val="center"/>
          </w:tcPr>
          <w:p w14:paraId="1A4FD60B" w14:textId="42C053F1"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Frontier Field Services/</w:t>
            </w:r>
            <w:proofErr w:type="spellStart"/>
            <w:r w:rsidRPr="00DF6D6F">
              <w:rPr>
                <w:rFonts w:asciiTheme="majorHAnsi" w:hAnsiTheme="majorHAnsi" w:cstheme="majorHAnsi"/>
                <w:sz w:val="18"/>
                <w:szCs w:val="18"/>
              </w:rPr>
              <w:t>Maljamar</w:t>
            </w:r>
            <w:proofErr w:type="spellEnd"/>
            <w:r w:rsidRPr="00DF6D6F">
              <w:rPr>
                <w:rFonts w:asciiTheme="majorHAnsi" w:hAnsiTheme="majorHAnsi" w:cstheme="majorHAnsi"/>
                <w:sz w:val="18"/>
                <w:szCs w:val="18"/>
              </w:rPr>
              <w:t xml:space="preserve"> Gas Planta 565</w:t>
            </w:r>
          </w:p>
        </w:tc>
        <w:tc>
          <w:tcPr>
            <w:tcW w:w="1214" w:type="dxa"/>
            <w:tcBorders>
              <w:top w:val="single" w:sz="4" w:space="0" w:color="auto"/>
              <w:left w:val="nil"/>
              <w:bottom w:val="single" w:sz="4" w:space="0" w:color="auto"/>
              <w:right w:val="nil"/>
            </w:tcBorders>
            <w:shd w:val="clear" w:color="auto" w:fill="auto"/>
            <w:vAlign w:val="center"/>
          </w:tcPr>
          <w:p w14:paraId="03D32F74" w14:textId="2647CBE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72</w:t>
            </w:r>
          </w:p>
        </w:tc>
        <w:tc>
          <w:tcPr>
            <w:tcW w:w="1078" w:type="dxa"/>
            <w:tcBorders>
              <w:top w:val="single" w:sz="4" w:space="0" w:color="auto"/>
              <w:left w:val="nil"/>
              <w:bottom w:val="single" w:sz="4" w:space="0" w:color="auto"/>
              <w:right w:val="nil"/>
            </w:tcBorders>
            <w:shd w:val="clear" w:color="auto" w:fill="auto"/>
            <w:vAlign w:val="center"/>
          </w:tcPr>
          <w:p w14:paraId="57D0253E" w14:textId="2B65216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112</w:t>
            </w:r>
          </w:p>
        </w:tc>
        <w:tc>
          <w:tcPr>
            <w:tcW w:w="1168" w:type="dxa"/>
            <w:tcBorders>
              <w:top w:val="single" w:sz="4" w:space="0" w:color="auto"/>
              <w:left w:val="nil"/>
              <w:bottom w:val="single" w:sz="4" w:space="0" w:color="auto"/>
              <w:right w:val="nil"/>
            </w:tcBorders>
            <w:shd w:val="clear" w:color="auto" w:fill="auto"/>
            <w:vAlign w:val="center"/>
          </w:tcPr>
          <w:p w14:paraId="6731ACE3"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55%</w:t>
            </w:r>
          </w:p>
        </w:tc>
        <w:tc>
          <w:tcPr>
            <w:tcW w:w="4987" w:type="dxa"/>
            <w:tcBorders>
              <w:top w:val="single" w:sz="4" w:space="0" w:color="auto"/>
              <w:left w:val="nil"/>
              <w:bottom w:val="single" w:sz="4" w:space="0" w:color="auto"/>
              <w:right w:val="single" w:sz="4" w:space="0" w:color="auto"/>
            </w:tcBorders>
            <w:shd w:val="clear" w:color="auto" w:fill="auto"/>
            <w:vAlign w:val="center"/>
          </w:tcPr>
          <w:p w14:paraId="77C279D8" w14:textId="37717265"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increase in production causes pipeline/field to run at high pressure</w:t>
            </w:r>
            <w:r w:rsidR="00294FC5" w:rsidRPr="008B7C72">
              <w:rPr>
                <w:rFonts w:asciiTheme="majorHAnsi" w:hAnsiTheme="majorHAnsi" w:cstheme="majorHAnsi"/>
                <w:sz w:val="18"/>
                <w:szCs w:val="18"/>
              </w:rPr>
              <w:t xml:space="preserve"> </w:t>
            </w:r>
            <w:r w:rsidRPr="00DF6D6F">
              <w:rPr>
                <w:rFonts w:asciiTheme="majorHAnsi" w:hAnsiTheme="majorHAnsi" w:cstheme="majorHAnsi"/>
                <w:sz w:val="18"/>
                <w:szCs w:val="18"/>
              </w:rPr>
              <w:t xml:space="preserve">causing automated shutdown of equipment leading to increased flaring. </w:t>
            </w:r>
          </w:p>
        </w:tc>
      </w:tr>
      <w:tr w:rsidR="00DF6D6F" w:rsidRPr="008B7C72" w14:paraId="32405123"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1A172E2A"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0652B470"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2DE0E27D"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350150010</w:t>
            </w:r>
          </w:p>
        </w:tc>
        <w:tc>
          <w:tcPr>
            <w:tcW w:w="3167" w:type="dxa"/>
            <w:tcBorders>
              <w:top w:val="single" w:sz="4" w:space="0" w:color="auto"/>
              <w:left w:val="nil"/>
              <w:bottom w:val="single" w:sz="4" w:space="0" w:color="auto"/>
              <w:right w:val="nil"/>
            </w:tcBorders>
            <w:shd w:val="clear" w:color="auto" w:fill="auto"/>
            <w:vAlign w:val="center"/>
          </w:tcPr>
          <w:p w14:paraId="275D98EC" w14:textId="67612F8C"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Navajo Refining Co/Artesia Refinery</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AI 198</w:t>
            </w:r>
          </w:p>
        </w:tc>
        <w:tc>
          <w:tcPr>
            <w:tcW w:w="1214" w:type="dxa"/>
            <w:tcBorders>
              <w:top w:val="single" w:sz="4" w:space="0" w:color="auto"/>
              <w:left w:val="nil"/>
              <w:bottom w:val="single" w:sz="4" w:space="0" w:color="auto"/>
              <w:right w:val="nil"/>
            </w:tcBorders>
            <w:shd w:val="clear" w:color="auto" w:fill="auto"/>
            <w:vAlign w:val="center"/>
          </w:tcPr>
          <w:p w14:paraId="4CC06276" w14:textId="61BE20E9"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42</w:t>
            </w:r>
          </w:p>
        </w:tc>
        <w:tc>
          <w:tcPr>
            <w:tcW w:w="1078" w:type="dxa"/>
            <w:tcBorders>
              <w:top w:val="single" w:sz="4" w:space="0" w:color="auto"/>
              <w:left w:val="nil"/>
              <w:bottom w:val="single" w:sz="4" w:space="0" w:color="auto"/>
              <w:right w:val="nil"/>
            </w:tcBorders>
            <w:shd w:val="clear" w:color="auto" w:fill="auto"/>
            <w:vAlign w:val="center"/>
          </w:tcPr>
          <w:p w14:paraId="0B8E22B6" w14:textId="56017DF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70</w:t>
            </w:r>
          </w:p>
        </w:tc>
        <w:tc>
          <w:tcPr>
            <w:tcW w:w="1168" w:type="dxa"/>
            <w:tcBorders>
              <w:top w:val="single" w:sz="4" w:space="0" w:color="auto"/>
              <w:left w:val="nil"/>
              <w:bottom w:val="single" w:sz="4" w:space="0" w:color="auto"/>
              <w:right w:val="nil"/>
            </w:tcBorders>
            <w:shd w:val="clear" w:color="auto" w:fill="auto"/>
            <w:vAlign w:val="center"/>
          </w:tcPr>
          <w:p w14:paraId="66D64B6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67%</w:t>
            </w:r>
          </w:p>
        </w:tc>
        <w:tc>
          <w:tcPr>
            <w:tcW w:w="4987" w:type="dxa"/>
            <w:tcBorders>
              <w:top w:val="single" w:sz="4" w:space="0" w:color="auto"/>
              <w:left w:val="nil"/>
              <w:bottom w:val="single" w:sz="4" w:space="0" w:color="auto"/>
              <w:right w:val="single" w:sz="4" w:space="0" w:color="auto"/>
            </w:tcBorders>
            <w:shd w:val="clear" w:color="auto" w:fill="auto"/>
            <w:vAlign w:val="center"/>
          </w:tcPr>
          <w:p w14:paraId="46186DFD"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increase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TPY in 2023 was mainly due to flaring events from unit shutdowns caused by planned TAR (turnaround/shutdown), power outages, malfunctions, and other maintenance activities.</w:t>
            </w:r>
          </w:p>
        </w:tc>
      </w:tr>
      <w:tr w:rsidR="00DF6D6F" w:rsidRPr="008B7C72" w14:paraId="6C6901CB"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68757777"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7D750291"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45</w:t>
            </w:r>
          </w:p>
        </w:tc>
        <w:tc>
          <w:tcPr>
            <w:tcW w:w="1179" w:type="dxa"/>
            <w:tcBorders>
              <w:top w:val="single" w:sz="4" w:space="0" w:color="auto"/>
              <w:left w:val="nil"/>
              <w:bottom w:val="single" w:sz="4" w:space="0" w:color="auto"/>
              <w:right w:val="nil"/>
            </w:tcBorders>
            <w:shd w:val="clear" w:color="auto" w:fill="auto"/>
            <w:vAlign w:val="center"/>
          </w:tcPr>
          <w:p w14:paraId="0CF07BED"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350450902</w:t>
            </w:r>
          </w:p>
        </w:tc>
        <w:tc>
          <w:tcPr>
            <w:tcW w:w="3167" w:type="dxa"/>
            <w:tcBorders>
              <w:top w:val="single" w:sz="4" w:space="0" w:color="auto"/>
              <w:left w:val="nil"/>
              <w:bottom w:val="single" w:sz="4" w:space="0" w:color="auto"/>
              <w:right w:val="nil"/>
            </w:tcBorders>
            <w:shd w:val="clear" w:color="auto" w:fill="auto"/>
            <w:vAlign w:val="center"/>
          </w:tcPr>
          <w:p w14:paraId="00CEE155"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Public Service Co of New Mexico/San Juan Generating Station AI 1421</w:t>
            </w:r>
          </w:p>
        </w:tc>
        <w:tc>
          <w:tcPr>
            <w:tcW w:w="1214" w:type="dxa"/>
            <w:tcBorders>
              <w:top w:val="single" w:sz="4" w:space="0" w:color="auto"/>
              <w:left w:val="nil"/>
              <w:bottom w:val="single" w:sz="4" w:space="0" w:color="auto"/>
              <w:right w:val="nil"/>
            </w:tcBorders>
            <w:shd w:val="clear" w:color="auto" w:fill="auto"/>
            <w:vAlign w:val="center"/>
          </w:tcPr>
          <w:p w14:paraId="1BA73021" w14:textId="124A0EC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604</w:t>
            </w:r>
          </w:p>
        </w:tc>
        <w:tc>
          <w:tcPr>
            <w:tcW w:w="1078" w:type="dxa"/>
            <w:tcBorders>
              <w:top w:val="single" w:sz="4" w:space="0" w:color="auto"/>
              <w:left w:val="nil"/>
              <w:bottom w:val="single" w:sz="4" w:space="0" w:color="auto"/>
              <w:right w:val="nil"/>
            </w:tcBorders>
            <w:shd w:val="clear" w:color="auto" w:fill="auto"/>
            <w:vAlign w:val="center"/>
          </w:tcPr>
          <w:p w14:paraId="77EE28F2" w14:textId="2EB24B4A"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w:t>
            </w:r>
          </w:p>
        </w:tc>
        <w:tc>
          <w:tcPr>
            <w:tcW w:w="1168" w:type="dxa"/>
            <w:tcBorders>
              <w:top w:val="single" w:sz="4" w:space="0" w:color="auto"/>
              <w:left w:val="nil"/>
              <w:bottom w:val="single" w:sz="4" w:space="0" w:color="auto"/>
              <w:right w:val="nil"/>
            </w:tcBorders>
            <w:shd w:val="clear" w:color="auto" w:fill="auto"/>
            <w:vAlign w:val="center"/>
          </w:tcPr>
          <w:p w14:paraId="06A5B1C8"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-100%</w:t>
            </w:r>
          </w:p>
        </w:tc>
        <w:tc>
          <w:tcPr>
            <w:tcW w:w="4987" w:type="dxa"/>
            <w:tcBorders>
              <w:top w:val="single" w:sz="4" w:space="0" w:color="auto"/>
              <w:left w:val="nil"/>
              <w:bottom w:val="single" w:sz="4" w:space="0" w:color="auto"/>
              <w:right w:val="single" w:sz="4" w:space="0" w:color="auto"/>
            </w:tcBorders>
            <w:shd w:val="clear" w:color="auto" w:fill="auto"/>
            <w:vAlign w:val="center"/>
          </w:tcPr>
          <w:p w14:paraId="1DA20A1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Plant shut down</w:t>
            </w:r>
          </w:p>
        </w:tc>
      </w:tr>
      <w:tr w:rsidR="00DF6D6F" w:rsidRPr="008B7C72" w14:paraId="64220017"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1376BDDD"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4D5E772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3C0E62B8"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569</w:t>
            </w:r>
          </w:p>
        </w:tc>
        <w:tc>
          <w:tcPr>
            <w:tcW w:w="3167" w:type="dxa"/>
            <w:tcBorders>
              <w:top w:val="single" w:sz="4" w:space="0" w:color="auto"/>
              <w:left w:val="nil"/>
              <w:bottom w:val="single" w:sz="4" w:space="0" w:color="auto"/>
              <w:right w:val="nil"/>
            </w:tcBorders>
            <w:shd w:val="clear" w:color="auto" w:fill="auto"/>
            <w:vAlign w:val="center"/>
          </w:tcPr>
          <w:p w14:paraId="0EEE0C3B"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Regency Field Services/Jal #3 [Old Name Southern Union Gas] /Jal #3</w:t>
            </w:r>
          </w:p>
        </w:tc>
        <w:tc>
          <w:tcPr>
            <w:tcW w:w="1214" w:type="dxa"/>
            <w:tcBorders>
              <w:top w:val="single" w:sz="4" w:space="0" w:color="auto"/>
              <w:left w:val="nil"/>
              <w:bottom w:val="single" w:sz="4" w:space="0" w:color="auto"/>
              <w:right w:val="nil"/>
            </w:tcBorders>
            <w:shd w:val="clear" w:color="auto" w:fill="auto"/>
            <w:vAlign w:val="center"/>
          </w:tcPr>
          <w:p w14:paraId="5D57EFAD" w14:textId="3E24A10F"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72</w:t>
            </w:r>
          </w:p>
        </w:tc>
        <w:tc>
          <w:tcPr>
            <w:tcW w:w="1078" w:type="dxa"/>
            <w:tcBorders>
              <w:top w:val="single" w:sz="4" w:space="0" w:color="auto"/>
              <w:left w:val="nil"/>
              <w:bottom w:val="single" w:sz="4" w:space="0" w:color="auto"/>
              <w:right w:val="nil"/>
            </w:tcBorders>
            <w:shd w:val="clear" w:color="auto" w:fill="auto"/>
            <w:vAlign w:val="center"/>
          </w:tcPr>
          <w:p w14:paraId="11929B30" w14:textId="1E4396F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w:t>
            </w:r>
          </w:p>
        </w:tc>
        <w:tc>
          <w:tcPr>
            <w:tcW w:w="1168" w:type="dxa"/>
            <w:tcBorders>
              <w:top w:val="single" w:sz="4" w:space="0" w:color="auto"/>
              <w:left w:val="nil"/>
              <w:bottom w:val="single" w:sz="4" w:space="0" w:color="auto"/>
              <w:right w:val="nil"/>
            </w:tcBorders>
            <w:shd w:val="clear" w:color="auto" w:fill="auto"/>
            <w:vAlign w:val="center"/>
          </w:tcPr>
          <w:p w14:paraId="4058440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-93%</w:t>
            </w:r>
          </w:p>
        </w:tc>
        <w:tc>
          <w:tcPr>
            <w:tcW w:w="4987" w:type="dxa"/>
            <w:tcBorders>
              <w:top w:val="single" w:sz="4" w:space="0" w:color="auto"/>
              <w:left w:val="nil"/>
              <w:bottom w:val="single" w:sz="4" w:space="0" w:color="auto"/>
              <w:right w:val="single" w:sz="4" w:space="0" w:color="auto"/>
            </w:tcBorders>
            <w:shd w:val="clear" w:color="auto" w:fill="auto"/>
            <w:vAlign w:val="center"/>
          </w:tcPr>
          <w:p w14:paraId="15366DE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 xml:space="preserve"> In late 2022 we installed redundant acid gas injection compression which allowed for a significant reduction in acid gas flaring. </w:t>
            </w:r>
          </w:p>
        </w:tc>
      </w:tr>
      <w:tr w:rsidR="00DF6D6F" w:rsidRPr="008B7C72" w14:paraId="2AEB6D97"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076A6AC5"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lastRenderedPageBreak/>
              <w:t>NM</w:t>
            </w:r>
          </w:p>
        </w:tc>
        <w:tc>
          <w:tcPr>
            <w:tcW w:w="846" w:type="dxa"/>
            <w:tcBorders>
              <w:top w:val="single" w:sz="4" w:space="0" w:color="auto"/>
              <w:left w:val="nil"/>
              <w:bottom w:val="single" w:sz="4" w:space="0" w:color="auto"/>
              <w:right w:val="nil"/>
            </w:tcBorders>
            <w:shd w:val="clear" w:color="auto" w:fill="auto"/>
            <w:vAlign w:val="center"/>
          </w:tcPr>
          <w:p w14:paraId="188EB713"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36120D8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350250061</w:t>
            </w:r>
          </w:p>
        </w:tc>
        <w:tc>
          <w:tcPr>
            <w:tcW w:w="3167" w:type="dxa"/>
            <w:tcBorders>
              <w:top w:val="single" w:sz="4" w:space="0" w:color="auto"/>
              <w:left w:val="nil"/>
              <w:bottom w:val="single" w:sz="4" w:space="0" w:color="auto"/>
              <w:right w:val="nil"/>
            </w:tcBorders>
            <w:shd w:val="clear" w:color="auto" w:fill="auto"/>
            <w:vAlign w:val="center"/>
          </w:tcPr>
          <w:p w14:paraId="6D9D9B4E" w14:textId="7A1DF659" w:rsidR="00DF6D6F" w:rsidRPr="00DF6D6F" w:rsidRDefault="00DF6D6F" w:rsidP="00DF6D6F">
            <w:pPr>
              <w:spacing w:line="240" w:lineRule="auto"/>
              <w:rPr>
                <w:rFonts w:asciiTheme="majorHAnsi" w:hAnsiTheme="majorHAnsi" w:cstheme="majorHAnsi"/>
                <w:sz w:val="18"/>
                <w:szCs w:val="18"/>
              </w:rPr>
            </w:pPr>
            <w:proofErr w:type="spellStart"/>
            <w:r w:rsidRPr="00DF6D6F">
              <w:rPr>
                <w:rFonts w:asciiTheme="majorHAnsi" w:hAnsiTheme="majorHAnsi" w:cstheme="majorHAnsi"/>
                <w:sz w:val="18"/>
                <w:szCs w:val="18"/>
              </w:rPr>
              <w:t>Versado</w:t>
            </w:r>
            <w:proofErr w:type="spellEnd"/>
            <w:r w:rsidRPr="00DF6D6F">
              <w:rPr>
                <w:rFonts w:asciiTheme="majorHAnsi" w:hAnsiTheme="majorHAnsi" w:cstheme="majorHAnsi"/>
                <w:sz w:val="18"/>
                <w:szCs w:val="18"/>
              </w:rPr>
              <w:t xml:space="preserve"> Gas Processors, LLC / Monument Plant</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[Old name(s):</w:t>
            </w:r>
            <w:r w:rsidR="00617E25" w:rsidRPr="008B7C72">
              <w:rPr>
                <w:rFonts w:asciiTheme="majorHAnsi" w:hAnsiTheme="majorHAnsi" w:cstheme="majorHAnsi"/>
                <w:sz w:val="18"/>
                <w:szCs w:val="18"/>
              </w:rPr>
              <w:t xml:space="preserve"> </w:t>
            </w:r>
            <w:r w:rsidRPr="00DF6D6F">
              <w:rPr>
                <w:rFonts w:asciiTheme="majorHAnsi" w:hAnsiTheme="majorHAnsi" w:cstheme="majorHAnsi"/>
                <w:sz w:val="18"/>
                <w:szCs w:val="18"/>
              </w:rPr>
              <w:t>TARGA MIDSTREAM SERVICES LP, WARREN PETROLEUM/MONUMENT PLANT]</w:t>
            </w:r>
          </w:p>
        </w:tc>
        <w:tc>
          <w:tcPr>
            <w:tcW w:w="1214" w:type="dxa"/>
            <w:tcBorders>
              <w:top w:val="single" w:sz="4" w:space="0" w:color="auto"/>
              <w:left w:val="nil"/>
              <w:bottom w:val="single" w:sz="4" w:space="0" w:color="auto"/>
              <w:right w:val="nil"/>
            </w:tcBorders>
            <w:shd w:val="clear" w:color="auto" w:fill="auto"/>
            <w:vAlign w:val="center"/>
          </w:tcPr>
          <w:p w14:paraId="525BE011" w14:textId="2203456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45</w:t>
            </w:r>
          </w:p>
        </w:tc>
        <w:tc>
          <w:tcPr>
            <w:tcW w:w="1078" w:type="dxa"/>
            <w:tcBorders>
              <w:top w:val="single" w:sz="4" w:space="0" w:color="auto"/>
              <w:left w:val="nil"/>
              <w:bottom w:val="single" w:sz="4" w:space="0" w:color="auto"/>
              <w:right w:val="nil"/>
            </w:tcBorders>
            <w:shd w:val="clear" w:color="auto" w:fill="auto"/>
            <w:vAlign w:val="center"/>
          </w:tcPr>
          <w:p w14:paraId="29AFD933" w14:textId="7289E7F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70</w:t>
            </w:r>
          </w:p>
        </w:tc>
        <w:tc>
          <w:tcPr>
            <w:tcW w:w="1168" w:type="dxa"/>
            <w:tcBorders>
              <w:top w:val="single" w:sz="4" w:space="0" w:color="auto"/>
              <w:left w:val="nil"/>
              <w:bottom w:val="single" w:sz="4" w:space="0" w:color="auto"/>
              <w:right w:val="nil"/>
            </w:tcBorders>
            <w:shd w:val="clear" w:color="auto" w:fill="auto"/>
            <w:vAlign w:val="center"/>
          </w:tcPr>
          <w:p w14:paraId="5A2C3804"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54%</w:t>
            </w:r>
          </w:p>
        </w:tc>
        <w:tc>
          <w:tcPr>
            <w:tcW w:w="4987" w:type="dxa"/>
            <w:tcBorders>
              <w:top w:val="single" w:sz="4" w:space="0" w:color="auto"/>
              <w:left w:val="nil"/>
              <w:bottom w:val="single" w:sz="4" w:space="0" w:color="auto"/>
              <w:right w:val="single" w:sz="4" w:space="0" w:color="auto"/>
            </w:tcBorders>
            <w:shd w:val="clear" w:color="auto" w:fill="auto"/>
            <w:vAlign w:val="center"/>
          </w:tcPr>
          <w:p w14:paraId="6D6DDE06"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 xml:space="preserve">Various equipment failures contributed to an increase </w:t>
            </w:r>
            <w:proofErr w:type="gramStart"/>
            <w:r w:rsidRPr="00DF6D6F">
              <w:rPr>
                <w:rFonts w:asciiTheme="majorHAnsi" w:hAnsiTheme="majorHAnsi" w:cstheme="majorHAnsi"/>
                <w:sz w:val="18"/>
                <w:szCs w:val="18"/>
              </w:rPr>
              <w:t>of</w:t>
            </w:r>
            <w:proofErr w:type="gramEnd"/>
            <w:r w:rsidRPr="00DF6D6F">
              <w:rPr>
                <w:rFonts w:asciiTheme="majorHAnsi" w:hAnsiTheme="majorHAnsi" w:cstheme="majorHAnsi"/>
                <w:sz w:val="18"/>
                <w:szCs w:val="18"/>
              </w:rPr>
              <w:t xml:space="preserve"> acid gas with residue quality fuel being routed to the flare.</w:t>
            </w:r>
          </w:p>
        </w:tc>
      </w:tr>
      <w:tr w:rsidR="00DF6D6F" w:rsidRPr="008B7C72" w14:paraId="1050C923"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24D7F26E"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0B7C1EC3"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33B4C62E"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350250075</w:t>
            </w:r>
          </w:p>
        </w:tc>
        <w:tc>
          <w:tcPr>
            <w:tcW w:w="3167" w:type="dxa"/>
            <w:tcBorders>
              <w:top w:val="single" w:sz="4" w:space="0" w:color="auto"/>
              <w:left w:val="nil"/>
              <w:bottom w:val="single" w:sz="4" w:space="0" w:color="auto"/>
              <w:right w:val="nil"/>
            </w:tcBorders>
            <w:shd w:val="clear" w:color="auto" w:fill="auto"/>
            <w:vAlign w:val="center"/>
          </w:tcPr>
          <w:p w14:paraId="3923940D" w14:textId="6580BBA2"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ConocoPhillips-Midland Office / MCA Tank Battery No. 2AI 624</w:t>
            </w:r>
          </w:p>
        </w:tc>
        <w:tc>
          <w:tcPr>
            <w:tcW w:w="1214" w:type="dxa"/>
            <w:tcBorders>
              <w:top w:val="single" w:sz="4" w:space="0" w:color="auto"/>
              <w:left w:val="nil"/>
              <w:bottom w:val="single" w:sz="4" w:space="0" w:color="auto"/>
              <w:right w:val="nil"/>
            </w:tcBorders>
            <w:shd w:val="clear" w:color="auto" w:fill="auto"/>
            <w:vAlign w:val="center"/>
          </w:tcPr>
          <w:p w14:paraId="24F37930" w14:textId="2F95CCDF"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113</w:t>
            </w:r>
          </w:p>
        </w:tc>
        <w:tc>
          <w:tcPr>
            <w:tcW w:w="1078" w:type="dxa"/>
            <w:tcBorders>
              <w:top w:val="single" w:sz="4" w:space="0" w:color="auto"/>
              <w:left w:val="nil"/>
              <w:bottom w:val="single" w:sz="4" w:space="0" w:color="auto"/>
              <w:right w:val="nil"/>
            </w:tcBorders>
            <w:shd w:val="clear" w:color="auto" w:fill="auto"/>
            <w:vAlign w:val="center"/>
          </w:tcPr>
          <w:p w14:paraId="2B7CDE56" w14:textId="20E15983"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0</w:t>
            </w:r>
          </w:p>
        </w:tc>
        <w:tc>
          <w:tcPr>
            <w:tcW w:w="1168" w:type="dxa"/>
            <w:tcBorders>
              <w:top w:val="single" w:sz="4" w:space="0" w:color="auto"/>
              <w:left w:val="nil"/>
              <w:bottom w:val="single" w:sz="4" w:space="0" w:color="auto"/>
              <w:right w:val="nil"/>
            </w:tcBorders>
            <w:shd w:val="clear" w:color="auto" w:fill="auto"/>
            <w:vAlign w:val="center"/>
          </w:tcPr>
          <w:p w14:paraId="706A500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-100%</w:t>
            </w:r>
          </w:p>
        </w:tc>
        <w:tc>
          <w:tcPr>
            <w:tcW w:w="4987" w:type="dxa"/>
            <w:tcBorders>
              <w:top w:val="single" w:sz="4" w:space="0" w:color="auto"/>
              <w:left w:val="nil"/>
              <w:bottom w:val="single" w:sz="4" w:space="0" w:color="auto"/>
              <w:right w:val="single" w:sz="4" w:space="0" w:color="auto"/>
            </w:tcBorders>
            <w:shd w:val="clear" w:color="auto" w:fill="auto"/>
            <w:vAlign w:val="center"/>
          </w:tcPr>
          <w:p w14:paraId="398DCF26" w14:textId="6303FE34" w:rsidR="00DF6D6F" w:rsidRPr="00DF6D6F" w:rsidRDefault="0017783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company</w:t>
            </w:r>
            <w:r w:rsidR="00DF6D6F" w:rsidRPr="00DF6D6F">
              <w:rPr>
                <w:rFonts w:asciiTheme="majorHAnsi" w:hAnsiTheme="majorHAnsi" w:cstheme="majorHAnsi"/>
                <w:sz w:val="18"/>
                <w:szCs w:val="18"/>
              </w:rPr>
              <w:t xml:space="preserve"> made efforts to</w:t>
            </w:r>
            <w:r w:rsidR="00294FC5" w:rsidRPr="008B7C72">
              <w:rPr>
                <w:rFonts w:asciiTheme="majorHAnsi" w:hAnsiTheme="majorHAnsi" w:cstheme="majorHAnsi"/>
                <w:sz w:val="18"/>
                <w:szCs w:val="18"/>
              </w:rPr>
              <w:t xml:space="preserve"> </w:t>
            </w:r>
            <w:r w:rsidR="00DF6D6F" w:rsidRPr="00DF6D6F">
              <w:rPr>
                <w:rFonts w:asciiTheme="majorHAnsi" w:hAnsiTheme="majorHAnsi" w:cstheme="majorHAnsi"/>
                <w:sz w:val="18"/>
                <w:szCs w:val="18"/>
              </w:rPr>
              <w:t>reduce emissions and improve maintenance of the equipment.</w:t>
            </w:r>
          </w:p>
        </w:tc>
      </w:tr>
      <w:tr w:rsidR="00DF6D6F" w:rsidRPr="008B7C72" w14:paraId="1CC835CD"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0640FF83"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NM</w:t>
            </w:r>
          </w:p>
        </w:tc>
        <w:tc>
          <w:tcPr>
            <w:tcW w:w="846" w:type="dxa"/>
            <w:tcBorders>
              <w:top w:val="single" w:sz="4" w:space="0" w:color="auto"/>
              <w:left w:val="nil"/>
              <w:bottom w:val="single" w:sz="4" w:space="0" w:color="auto"/>
              <w:right w:val="nil"/>
            </w:tcBorders>
            <w:shd w:val="clear" w:color="auto" w:fill="auto"/>
            <w:vAlign w:val="center"/>
          </w:tcPr>
          <w:p w14:paraId="0696F61F"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1179" w:type="dxa"/>
            <w:tcBorders>
              <w:top w:val="single" w:sz="4" w:space="0" w:color="auto"/>
              <w:left w:val="nil"/>
              <w:bottom w:val="single" w:sz="4" w:space="0" w:color="auto"/>
              <w:right w:val="nil"/>
            </w:tcBorders>
            <w:shd w:val="clear" w:color="auto" w:fill="auto"/>
            <w:vAlign w:val="center"/>
          </w:tcPr>
          <w:p w14:paraId="686CB93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350250113</w:t>
            </w:r>
          </w:p>
        </w:tc>
        <w:tc>
          <w:tcPr>
            <w:tcW w:w="3167" w:type="dxa"/>
            <w:tcBorders>
              <w:top w:val="single" w:sz="4" w:space="0" w:color="auto"/>
              <w:left w:val="nil"/>
              <w:bottom w:val="single" w:sz="4" w:space="0" w:color="auto"/>
              <w:right w:val="nil"/>
            </w:tcBorders>
            <w:shd w:val="clear" w:color="auto" w:fill="auto"/>
            <w:vAlign w:val="center"/>
          </w:tcPr>
          <w:p w14:paraId="2E0A1E1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ConocoPhillips-Midland Office / East Vacuum Liquid Recovery and CO2 Plant</w:t>
            </w:r>
          </w:p>
        </w:tc>
        <w:tc>
          <w:tcPr>
            <w:tcW w:w="1214" w:type="dxa"/>
            <w:tcBorders>
              <w:top w:val="single" w:sz="4" w:space="0" w:color="auto"/>
              <w:left w:val="nil"/>
              <w:bottom w:val="single" w:sz="4" w:space="0" w:color="auto"/>
              <w:right w:val="nil"/>
            </w:tcBorders>
            <w:shd w:val="clear" w:color="auto" w:fill="auto"/>
            <w:vAlign w:val="center"/>
          </w:tcPr>
          <w:p w14:paraId="553036A9" w14:textId="58FC00C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w:t>
            </w:r>
          </w:p>
        </w:tc>
        <w:tc>
          <w:tcPr>
            <w:tcW w:w="1078" w:type="dxa"/>
            <w:tcBorders>
              <w:top w:val="single" w:sz="4" w:space="0" w:color="auto"/>
              <w:left w:val="nil"/>
              <w:bottom w:val="single" w:sz="4" w:space="0" w:color="auto"/>
              <w:right w:val="nil"/>
            </w:tcBorders>
            <w:shd w:val="clear" w:color="auto" w:fill="auto"/>
            <w:vAlign w:val="center"/>
          </w:tcPr>
          <w:p w14:paraId="35ADCBFC" w14:textId="56B5BBF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31</w:t>
            </w:r>
          </w:p>
        </w:tc>
        <w:tc>
          <w:tcPr>
            <w:tcW w:w="1168" w:type="dxa"/>
            <w:tcBorders>
              <w:top w:val="single" w:sz="4" w:space="0" w:color="auto"/>
              <w:left w:val="nil"/>
              <w:bottom w:val="single" w:sz="4" w:space="0" w:color="auto"/>
              <w:right w:val="nil"/>
            </w:tcBorders>
            <w:shd w:val="clear" w:color="auto" w:fill="auto"/>
            <w:vAlign w:val="center"/>
          </w:tcPr>
          <w:p w14:paraId="67774D2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335%</w:t>
            </w:r>
          </w:p>
        </w:tc>
        <w:tc>
          <w:tcPr>
            <w:tcW w:w="4987" w:type="dxa"/>
            <w:tcBorders>
              <w:top w:val="single" w:sz="4" w:space="0" w:color="auto"/>
              <w:left w:val="nil"/>
              <w:bottom w:val="single" w:sz="4" w:space="0" w:color="auto"/>
              <w:right w:val="single" w:sz="4" w:space="0" w:color="auto"/>
            </w:tcBorders>
            <w:shd w:val="clear" w:color="auto" w:fill="auto"/>
            <w:vAlign w:val="center"/>
          </w:tcPr>
          <w:p w14:paraId="66D88DE3"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plant experienced lower dips and bad weather that caused the plant to go to flare.</w:t>
            </w:r>
          </w:p>
        </w:tc>
      </w:tr>
      <w:tr w:rsidR="00DF6D6F" w:rsidRPr="008B7C72" w14:paraId="64F6FB33"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47C4C85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UT</w:t>
            </w:r>
          </w:p>
        </w:tc>
        <w:tc>
          <w:tcPr>
            <w:tcW w:w="846" w:type="dxa"/>
            <w:tcBorders>
              <w:top w:val="single" w:sz="4" w:space="0" w:color="auto"/>
              <w:left w:val="nil"/>
              <w:bottom w:val="single" w:sz="4" w:space="0" w:color="auto"/>
              <w:right w:val="nil"/>
            </w:tcBorders>
            <w:shd w:val="clear" w:color="auto" w:fill="auto"/>
            <w:vAlign w:val="center"/>
          </w:tcPr>
          <w:p w14:paraId="6347C89D"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w:t>
            </w:r>
          </w:p>
        </w:tc>
        <w:tc>
          <w:tcPr>
            <w:tcW w:w="1179" w:type="dxa"/>
            <w:tcBorders>
              <w:top w:val="single" w:sz="4" w:space="0" w:color="auto"/>
              <w:left w:val="nil"/>
              <w:bottom w:val="single" w:sz="4" w:space="0" w:color="auto"/>
              <w:right w:val="nil"/>
            </w:tcBorders>
            <w:shd w:val="clear" w:color="auto" w:fill="auto"/>
            <w:vAlign w:val="center"/>
          </w:tcPr>
          <w:p w14:paraId="53E822A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10096</w:t>
            </w:r>
          </w:p>
        </w:tc>
        <w:tc>
          <w:tcPr>
            <w:tcW w:w="3167" w:type="dxa"/>
            <w:tcBorders>
              <w:top w:val="single" w:sz="4" w:space="0" w:color="auto"/>
              <w:left w:val="nil"/>
              <w:bottom w:val="single" w:sz="4" w:space="0" w:color="auto"/>
              <w:right w:val="nil"/>
            </w:tcBorders>
            <w:shd w:val="clear" w:color="auto" w:fill="auto"/>
            <w:vAlign w:val="center"/>
          </w:tcPr>
          <w:p w14:paraId="0B861E90"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Sunnyside Cogeneration Associates -- Sunnyside Cogeneration Facility</w:t>
            </w:r>
          </w:p>
        </w:tc>
        <w:tc>
          <w:tcPr>
            <w:tcW w:w="1214" w:type="dxa"/>
            <w:tcBorders>
              <w:top w:val="single" w:sz="4" w:space="0" w:color="auto"/>
              <w:left w:val="nil"/>
              <w:bottom w:val="single" w:sz="4" w:space="0" w:color="auto"/>
              <w:right w:val="nil"/>
            </w:tcBorders>
            <w:shd w:val="clear" w:color="auto" w:fill="auto"/>
            <w:vAlign w:val="center"/>
          </w:tcPr>
          <w:p w14:paraId="334F2F23" w14:textId="14F9B2E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472</w:t>
            </w:r>
          </w:p>
        </w:tc>
        <w:tc>
          <w:tcPr>
            <w:tcW w:w="1078" w:type="dxa"/>
            <w:tcBorders>
              <w:top w:val="single" w:sz="4" w:space="0" w:color="auto"/>
              <w:left w:val="nil"/>
              <w:bottom w:val="single" w:sz="4" w:space="0" w:color="auto"/>
              <w:right w:val="nil"/>
            </w:tcBorders>
            <w:shd w:val="clear" w:color="auto" w:fill="auto"/>
            <w:vAlign w:val="center"/>
          </w:tcPr>
          <w:p w14:paraId="7FD02DB9" w14:textId="4A51012A"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362</w:t>
            </w:r>
          </w:p>
        </w:tc>
        <w:tc>
          <w:tcPr>
            <w:tcW w:w="1168" w:type="dxa"/>
            <w:tcBorders>
              <w:top w:val="single" w:sz="4" w:space="0" w:color="auto"/>
              <w:left w:val="nil"/>
              <w:bottom w:val="single" w:sz="4" w:space="0" w:color="auto"/>
              <w:right w:val="nil"/>
            </w:tcBorders>
            <w:shd w:val="clear" w:color="auto" w:fill="auto"/>
            <w:vAlign w:val="center"/>
          </w:tcPr>
          <w:p w14:paraId="70771481"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-23%</w:t>
            </w:r>
          </w:p>
        </w:tc>
        <w:tc>
          <w:tcPr>
            <w:tcW w:w="4987" w:type="dxa"/>
            <w:tcBorders>
              <w:top w:val="single" w:sz="4" w:space="0" w:color="auto"/>
              <w:left w:val="nil"/>
              <w:bottom w:val="single" w:sz="4" w:space="0" w:color="auto"/>
              <w:right w:val="single" w:sz="4" w:space="0" w:color="auto"/>
            </w:tcBorders>
            <w:shd w:val="clear" w:color="auto" w:fill="auto"/>
            <w:vAlign w:val="center"/>
          </w:tcPr>
          <w:p w14:paraId="235A9446" w14:textId="3725414E"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decrease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in 2023 is due to the plant being </w:t>
            </w:r>
            <w:r w:rsidR="00F50FC9" w:rsidRPr="008B7C72">
              <w:rPr>
                <w:rFonts w:asciiTheme="majorHAnsi" w:hAnsiTheme="majorHAnsi" w:cstheme="majorHAnsi"/>
                <w:sz w:val="18"/>
                <w:szCs w:val="18"/>
              </w:rPr>
              <w:t>offline</w:t>
            </w:r>
            <w:r w:rsidRPr="00DF6D6F">
              <w:rPr>
                <w:rFonts w:asciiTheme="majorHAnsi" w:hAnsiTheme="majorHAnsi" w:cstheme="majorHAnsi"/>
                <w:sz w:val="18"/>
                <w:szCs w:val="18"/>
              </w:rPr>
              <w:t xml:space="preserve"> for two months thr</w:t>
            </w:r>
            <w:r w:rsidR="00F50FC9" w:rsidRPr="008B7C72">
              <w:rPr>
                <w:rFonts w:asciiTheme="majorHAnsi" w:hAnsiTheme="majorHAnsi" w:cstheme="majorHAnsi"/>
                <w:sz w:val="18"/>
                <w:szCs w:val="18"/>
              </w:rPr>
              <w:t>ough</w:t>
            </w:r>
            <w:r w:rsidRPr="00DF6D6F">
              <w:rPr>
                <w:rFonts w:asciiTheme="majorHAnsi" w:hAnsiTheme="majorHAnsi" w:cstheme="majorHAnsi"/>
                <w:sz w:val="18"/>
                <w:szCs w:val="18"/>
              </w:rPr>
              <w:t xml:space="preserve"> September and most of October.</w:t>
            </w:r>
          </w:p>
        </w:tc>
      </w:tr>
      <w:tr w:rsidR="00DF6D6F" w:rsidRPr="008B7C72" w14:paraId="3749820C"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20FAF16"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UT</w:t>
            </w:r>
          </w:p>
        </w:tc>
        <w:tc>
          <w:tcPr>
            <w:tcW w:w="846" w:type="dxa"/>
            <w:tcBorders>
              <w:top w:val="single" w:sz="4" w:space="0" w:color="auto"/>
              <w:left w:val="nil"/>
              <w:bottom w:val="single" w:sz="4" w:space="0" w:color="auto"/>
              <w:right w:val="nil"/>
            </w:tcBorders>
            <w:shd w:val="clear" w:color="auto" w:fill="auto"/>
            <w:vAlign w:val="center"/>
          </w:tcPr>
          <w:p w14:paraId="5EBCDDD8"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0E97953E"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10237</w:t>
            </w:r>
          </w:p>
        </w:tc>
        <w:tc>
          <w:tcPr>
            <w:tcW w:w="3167" w:type="dxa"/>
            <w:tcBorders>
              <w:top w:val="single" w:sz="4" w:space="0" w:color="auto"/>
              <w:left w:val="nil"/>
              <w:bottom w:val="single" w:sz="4" w:space="0" w:color="auto"/>
              <w:right w:val="nil"/>
            </w:tcBorders>
            <w:shd w:val="clear" w:color="auto" w:fill="auto"/>
            <w:vAlign w:val="center"/>
          </w:tcPr>
          <w:p w14:paraId="684522F8"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PacifiCorp -- Hunter Power Plant</w:t>
            </w:r>
          </w:p>
        </w:tc>
        <w:tc>
          <w:tcPr>
            <w:tcW w:w="1214" w:type="dxa"/>
            <w:tcBorders>
              <w:top w:val="single" w:sz="4" w:space="0" w:color="auto"/>
              <w:left w:val="nil"/>
              <w:bottom w:val="single" w:sz="4" w:space="0" w:color="auto"/>
              <w:right w:val="nil"/>
            </w:tcBorders>
            <w:shd w:val="clear" w:color="auto" w:fill="auto"/>
            <w:vAlign w:val="center"/>
          </w:tcPr>
          <w:p w14:paraId="3F5B6DD1" w14:textId="2D8C59C2"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3,274</w:t>
            </w:r>
          </w:p>
        </w:tc>
        <w:tc>
          <w:tcPr>
            <w:tcW w:w="1078" w:type="dxa"/>
            <w:tcBorders>
              <w:top w:val="single" w:sz="4" w:space="0" w:color="auto"/>
              <w:left w:val="nil"/>
              <w:bottom w:val="single" w:sz="4" w:space="0" w:color="auto"/>
              <w:right w:val="nil"/>
            </w:tcBorders>
            <w:shd w:val="clear" w:color="auto" w:fill="auto"/>
            <w:vAlign w:val="center"/>
          </w:tcPr>
          <w:p w14:paraId="3190D015" w14:textId="7C5C2C2F"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1,940</w:t>
            </w:r>
          </w:p>
        </w:tc>
        <w:tc>
          <w:tcPr>
            <w:tcW w:w="1168" w:type="dxa"/>
            <w:tcBorders>
              <w:top w:val="single" w:sz="4" w:space="0" w:color="auto"/>
              <w:left w:val="nil"/>
              <w:bottom w:val="single" w:sz="4" w:space="0" w:color="auto"/>
              <w:right w:val="nil"/>
            </w:tcBorders>
            <w:shd w:val="clear" w:color="auto" w:fill="auto"/>
            <w:vAlign w:val="center"/>
          </w:tcPr>
          <w:p w14:paraId="1B8B715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-41%</w:t>
            </w:r>
          </w:p>
        </w:tc>
        <w:tc>
          <w:tcPr>
            <w:tcW w:w="4987" w:type="dxa"/>
            <w:tcBorders>
              <w:top w:val="single" w:sz="4" w:space="0" w:color="auto"/>
              <w:left w:val="nil"/>
              <w:bottom w:val="single" w:sz="4" w:space="0" w:color="auto"/>
              <w:right w:val="single" w:sz="4" w:space="0" w:color="auto"/>
            </w:tcBorders>
            <w:shd w:val="clear" w:color="auto" w:fill="auto"/>
            <w:vAlign w:val="center"/>
          </w:tcPr>
          <w:p w14:paraId="4F88344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This facility was operating at lower loads than they maybe ever have historically. The decrease in load is why we see a decrease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Coal supply was an issue in 2023, in addition to Hunter and Huntington being dispatched down to accommodate wind and solar loads.</w:t>
            </w:r>
          </w:p>
        </w:tc>
      </w:tr>
      <w:tr w:rsidR="00DF6D6F" w:rsidRPr="008B7C72" w14:paraId="5AD6C627"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1A0ED76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UT</w:t>
            </w:r>
          </w:p>
        </w:tc>
        <w:tc>
          <w:tcPr>
            <w:tcW w:w="846" w:type="dxa"/>
            <w:tcBorders>
              <w:top w:val="single" w:sz="4" w:space="0" w:color="auto"/>
              <w:left w:val="nil"/>
              <w:bottom w:val="single" w:sz="4" w:space="0" w:color="auto"/>
              <w:right w:val="nil"/>
            </w:tcBorders>
            <w:shd w:val="clear" w:color="auto" w:fill="auto"/>
            <w:vAlign w:val="center"/>
          </w:tcPr>
          <w:p w14:paraId="466B855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w:t>
            </w:r>
          </w:p>
        </w:tc>
        <w:tc>
          <w:tcPr>
            <w:tcW w:w="1179" w:type="dxa"/>
            <w:tcBorders>
              <w:top w:val="single" w:sz="4" w:space="0" w:color="auto"/>
              <w:left w:val="nil"/>
              <w:bottom w:val="single" w:sz="4" w:space="0" w:color="auto"/>
              <w:right w:val="nil"/>
            </w:tcBorders>
            <w:shd w:val="clear" w:color="auto" w:fill="auto"/>
            <w:vAlign w:val="center"/>
          </w:tcPr>
          <w:p w14:paraId="25E6D6B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10238</w:t>
            </w:r>
          </w:p>
        </w:tc>
        <w:tc>
          <w:tcPr>
            <w:tcW w:w="3167" w:type="dxa"/>
            <w:tcBorders>
              <w:top w:val="single" w:sz="4" w:space="0" w:color="auto"/>
              <w:left w:val="nil"/>
              <w:bottom w:val="single" w:sz="4" w:space="0" w:color="auto"/>
              <w:right w:val="nil"/>
            </w:tcBorders>
            <w:shd w:val="clear" w:color="auto" w:fill="auto"/>
            <w:vAlign w:val="center"/>
          </w:tcPr>
          <w:p w14:paraId="23C7CCE0"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PacifiCorp -- Huntington Power Plant</w:t>
            </w:r>
          </w:p>
        </w:tc>
        <w:tc>
          <w:tcPr>
            <w:tcW w:w="1214" w:type="dxa"/>
            <w:tcBorders>
              <w:top w:val="single" w:sz="4" w:space="0" w:color="auto"/>
              <w:left w:val="nil"/>
              <w:bottom w:val="single" w:sz="4" w:space="0" w:color="auto"/>
              <w:right w:val="nil"/>
            </w:tcBorders>
            <w:shd w:val="clear" w:color="auto" w:fill="auto"/>
            <w:vAlign w:val="center"/>
          </w:tcPr>
          <w:p w14:paraId="430B6F2A" w14:textId="6D5AFD4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2,518</w:t>
            </w:r>
          </w:p>
        </w:tc>
        <w:tc>
          <w:tcPr>
            <w:tcW w:w="1078" w:type="dxa"/>
            <w:tcBorders>
              <w:top w:val="single" w:sz="4" w:space="0" w:color="auto"/>
              <w:left w:val="nil"/>
              <w:bottom w:val="single" w:sz="4" w:space="0" w:color="auto"/>
              <w:right w:val="nil"/>
            </w:tcBorders>
            <w:shd w:val="clear" w:color="auto" w:fill="auto"/>
            <w:vAlign w:val="center"/>
          </w:tcPr>
          <w:p w14:paraId="28B4642B" w14:textId="56B47113"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1,057</w:t>
            </w:r>
          </w:p>
        </w:tc>
        <w:tc>
          <w:tcPr>
            <w:tcW w:w="1168" w:type="dxa"/>
            <w:tcBorders>
              <w:top w:val="single" w:sz="4" w:space="0" w:color="auto"/>
              <w:left w:val="nil"/>
              <w:bottom w:val="single" w:sz="4" w:space="0" w:color="auto"/>
              <w:right w:val="nil"/>
            </w:tcBorders>
            <w:shd w:val="clear" w:color="auto" w:fill="auto"/>
            <w:vAlign w:val="center"/>
          </w:tcPr>
          <w:p w14:paraId="2B738B28"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-58%</w:t>
            </w:r>
          </w:p>
        </w:tc>
        <w:tc>
          <w:tcPr>
            <w:tcW w:w="4987" w:type="dxa"/>
            <w:tcBorders>
              <w:top w:val="single" w:sz="4" w:space="0" w:color="auto"/>
              <w:left w:val="nil"/>
              <w:bottom w:val="single" w:sz="4" w:space="0" w:color="auto"/>
              <w:right w:val="single" w:sz="4" w:space="0" w:color="auto"/>
            </w:tcBorders>
            <w:shd w:val="clear" w:color="auto" w:fill="auto"/>
            <w:vAlign w:val="center"/>
          </w:tcPr>
          <w:p w14:paraId="0AAE4697"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This facility was operating at lower loads than they maybe ever have historically. The decrease in load is why we see a decrease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Coal supply was an issue in 2023, in addition to Hunter and Huntington being dispatched down to accommodate wind and solar loads.</w:t>
            </w:r>
          </w:p>
        </w:tc>
      </w:tr>
      <w:tr w:rsidR="00DF6D6F" w:rsidRPr="008B7C72" w14:paraId="3ADABCA1"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C7CA1F4"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UT</w:t>
            </w:r>
          </w:p>
        </w:tc>
        <w:tc>
          <w:tcPr>
            <w:tcW w:w="846" w:type="dxa"/>
            <w:tcBorders>
              <w:top w:val="single" w:sz="4" w:space="0" w:color="auto"/>
              <w:left w:val="nil"/>
              <w:bottom w:val="single" w:sz="4" w:space="0" w:color="auto"/>
              <w:right w:val="nil"/>
            </w:tcBorders>
            <w:shd w:val="clear" w:color="auto" w:fill="auto"/>
            <w:vAlign w:val="center"/>
          </w:tcPr>
          <w:p w14:paraId="545DFB0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27</w:t>
            </w:r>
          </w:p>
        </w:tc>
        <w:tc>
          <w:tcPr>
            <w:tcW w:w="1179" w:type="dxa"/>
            <w:tcBorders>
              <w:top w:val="single" w:sz="4" w:space="0" w:color="auto"/>
              <w:left w:val="nil"/>
              <w:bottom w:val="single" w:sz="4" w:space="0" w:color="auto"/>
              <w:right w:val="nil"/>
            </w:tcBorders>
            <w:shd w:val="clear" w:color="auto" w:fill="auto"/>
            <w:vAlign w:val="center"/>
          </w:tcPr>
          <w:p w14:paraId="3474699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10313</w:t>
            </w:r>
          </w:p>
        </w:tc>
        <w:tc>
          <w:tcPr>
            <w:tcW w:w="3167" w:type="dxa"/>
            <w:tcBorders>
              <w:top w:val="single" w:sz="4" w:space="0" w:color="auto"/>
              <w:left w:val="nil"/>
              <w:bottom w:val="single" w:sz="4" w:space="0" w:color="auto"/>
              <w:right w:val="nil"/>
            </w:tcBorders>
            <w:shd w:val="clear" w:color="auto" w:fill="auto"/>
            <w:vAlign w:val="center"/>
          </w:tcPr>
          <w:p w14:paraId="710410E9"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Graymont Western US Inc. -- Cricket Mountain Plant</w:t>
            </w:r>
          </w:p>
        </w:tc>
        <w:tc>
          <w:tcPr>
            <w:tcW w:w="1214" w:type="dxa"/>
            <w:tcBorders>
              <w:top w:val="single" w:sz="4" w:space="0" w:color="auto"/>
              <w:left w:val="nil"/>
              <w:bottom w:val="single" w:sz="4" w:space="0" w:color="auto"/>
              <w:right w:val="nil"/>
            </w:tcBorders>
            <w:shd w:val="clear" w:color="auto" w:fill="auto"/>
            <w:vAlign w:val="center"/>
          </w:tcPr>
          <w:p w14:paraId="44099DED" w14:textId="6362DAB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17</w:t>
            </w:r>
          </w:p>
        </w:tc>
        <w:tc>
          <w:tcPr>
            <w:tcW w:w="1078" w:type="dxa"/>
            <w:tcBorders>
              <w:top w:val="single" w:sz="4" w:space="0" w:color="auto"/>
              <w:left w:val="nil"/>
              <w:bottom w:val="single" w:sz="4" w:space="0" w:color="auto"/>
              <w:right w:val="nil"/>
            </w:tcBorders>
            <w:shd w:val="clear" w:color="auto" w:fill="auto"/>
            <w:vAlign w:val="center"/>
          </w:tcPr>
          <w:p w14:paraId="3FFC5A80" w14:textId="626D7F23"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29</w:t>
            </w:r>
          </w:p>
        </w:tc>
        <w:tc>
          <w:tcPr>
            <w:tcW w:w="1168" w:type="dxa"/>
            <w:tcBorders>
              <w:top w:val="single" w:sz="4" w:space="0" w:color="auto"/>
              <w:left w:val="nil"/>
              <w:bottom w:val="single" w:sz="4" w:space="0" w:color="auto"/>
              <w:right w:val="nil"/>
            </w:tcBorders>
            <w:shd w:val="clear" w:color="auto" w:fill="auto"/>
            <w:vAlign w:val="center"/>
          </w:tcPr>
          <w:p w14:paraId="4F28AC54"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70%</w:t>
            </w:r>
          </w:p>
        </w:tc>
        <w:tc>
          <w:tcPr>
            <w:tcW w:w="4987" w:type="dxa"/>
            <w:tcBorders>
              <w:top w:val="single" w:sz="4" w:space="0" w:color="auto"/>
              <w:left w:val="nil"/>
              <w:bottom w:val="single" w:sz="4" w:space="0" w:color="auto"/>
              <w:right w:val="single" w:sz="4" w:space="0" w:color="auto"/>
            </w:tcBorders>
            <w:shd w:val="clear" w:color="auto" w:fill="auto"/>
            <w:vAlign w:val="center"/>
          </w:tcPr>
          <w:p w14:paraId="6667E576"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 xml:space="preserve">The measured concentration during the 2023 stack test was 4.36 </w:t>
            </w:r>
            <w:proofErr w:type="spellStart"/>
            <w:r w:rsidRPr="00DF6D6F">
              <w:rPr>
                <w:rFonts w:asciiTheme="majorHAnsi" w:hAnsiTheme="majorHAnsi" w:cstheme="majorHAnsi"/>
                <w:sz w:val="18"/>
                <w:szCs w:val="18"/>
              </w:rPr>
              <w:t>lb</w:t>
            </w:r>
            <w:proofErr w:type="spellEnd"/>
            <w:r w:rsidRPr="00DF6D6F">
              <w:rPr>
                <w:rFonts w:asciiTheme="majorHAnsi" w:hAnsiTheme="majorHAnsi" w:cstheme="majorHAnsi"/>
                <w:sz w:val="18"/>
                <w:szCs w:val="18"/>
              </w:rPr>
              <w:t>/</w:t>
            </w:r>
            <w:proofErr w:type="spellStart"/>
            <w:r w:rsidRPr="00DF6D6F">
              <w:rPr>
                <w:rFonts w:asciiTheme="majorHAnsi" w:hAnsiTheme="majorHAnsi" w:cstheme="majorHAnsi"/>
                <w:sz w:val="18"/>
                <w:szCs w:val="18"/>
              </w:rPr>
              <w:t>hr</w:t>
            </w:r>
            <w:proofErr w:type="spellEnd"/>
            <w:r w:rsidRPr="00DF6D6F">
              <w:rPr>
                <w:rFonts w:asciiTheme="majorHAnsi" w:hAnsiTheme="majorHAnsi" w:cstheme="majorHAnsi"/>
                <w:sz w:val="18"/>
                <w:szCs w:val="18"/>
              </w:rPr>
              <w:t xml:space="preserve">, which, while significantly below the limit at 93% compliance, represents an increase by a factor of six from the 0.72 </w:t>
            </w:r>
            <w:proofErr w:type="spellStart"/>
            <w:r w:rsidRPr="00DF6D6F">
              <w:rPr>
                <w:rFonts w:asciiTheme="majorHAnsi" w:hAnsiTheme="majorHAnsi" w:cstheme="majorHAnsi"/>
                <w:sz w:val="18"/>
                <w:szCs w:val="18"/>
              </w:rPr>
              <w:t>lb</w:t>
            </w:r>
            <w:proofErr w:type="spellEnd"/>
            <w:r w:rsidRPr="00DF6D6F">
              <w:rPr>
                <w:rFonts w:asciiTheme="majorHAnsi" w:hAnsiTheme="majorHAnsi" w:cstheme="majorHAnsi"/>
                <w:sz w:val="18"/>
                <w:szCs w:val="18"/>
              </w:rPr>
              <w:t>/</w:t>
            </w:r>
            <w:proofErr w:type="spellStart"/>
            <w:r w:rsidRPr="00DF6D6F">
              <w:rPr>
                <w:rFonts w:asciiTheme="majorHAnsi" w:hAnsiTheme="majorHAnsi" w:cstheme="majorHAnsi"/>
                <w:sz w:val="18"/>
                <w:szCs w:val="18"/>
              </w:rPr>
              <w:t>hr</w:t>
            </w:r>
            <w:proofErr w:type="spellEnd"/>
            <w:r w:rsidRPr="00DF6D6F">
              <w:rPr>
                <w:rFonts w:asciiTheme="majorHAnsi" w:hAnsiTheme="majorHAnsi" w:cstheme="majorHAnsi"/>
                <w:sz w:val="18"/>
                <w:szCs w:val="18"/>
              </w:rPr>
              <w:t xml:space="preserve"> measured in 2022.</w:t>
            </w:r>
          </w:p>
        </w:tc>
      </w:tr>
      <w:tr w:rsidR="00DF6D6F" w:rsidRPr="008B7C72" w14:paraId="4F31A0BF"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483416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UT</w:t>
            </w:r>
          </w:p>
        </w:tc>
        <w:tc>
          <w:tcPr>
            <w:tcW w:w="846" w:type="dxa"/>
            <w:tcBorders>
              <w:top w:val="single" w:sz="4" w:space="0" w:color="auto"/>
              <w:left w:val="nil"/>
              <w:bottom w:val="single" w:sz="4" w:space="0" w:color="auto"/>
              <w:right w:val="nil"/>
            </w:tcBorders>
            <w:shd w:val="clear" w:color="auto" w:fill="auto"/>
            <w:vAlign w:val="center"/>
          </w:tcPr>
          <w:p w14:paraId="6A701EB9"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27</w:t>
            </w:r>
          </w:p>
        </w:tc>
        <w:tc>
          <w:tcPr>
            <w:tcW w:w="1179" w:type="dxa"/>
            <w:tcBorders>
              <w:top w:val="single" w:sz="4" w:space="0" w:color="auto"/>
              <w:left w:val="nil"/>
              <w:bottom w:val="single" w:sz="4" w:space="0" w:color="auto"/>
              <w:right w:val="nil"/>
            </w:tcBorders>
            <w:shd w:val="clear" w:color="auto" w:fill="auto"/>
            <w:vAlign w:val="center"/>
          </w:tcPr>
          <w:p w14:paraId="6A577C0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10327</w:t>
            </w:r>
          </w:p>
        </w:tc>
        <w:tc>
          <w:tcPr>
            <w:tcW w:w="3167" w:type="dxa"/>
            <w:tcBorders>
              <w:top w:val="single" w:sz="4" w:space="0" w:color="auto"/>
              <w:left w:val="nil"/>
              <w:bottom w:val="single" w:sz="4" w:space="0" w:color="auto"/>
              <w:right w:val="nil"/>
            </w:tcBorders>
            <w:shd w:val="clear" w:color="auto" w:fill="auto"/>
            <w:vAlign w:val="center"/>
          </w:tcPr>
          <w:p w14:paraId="393E8DDC"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Intermountain Power Service Corporation -- Intermountain Generation Station</w:t>
            </w:r>
          </w:p>
        </w:tc>
        <w:tc>
          <w:tcPr>
            <w:tcW w:w="1214" w:type="dxa"/>
            <w:tcBorders>
              <w:top w:val="single" w:sz="4" w:space="0" w:color="auto"/>
              <w:left w:val="nil"/>
              <w:bottom w:val="single" w:sz="4" w:space="0" w:color="auto"/>
              <w:right w:val="nil"/>
            </w:tcBorders>
            <w:shd w:val="clear" w:color="auto" w:fill="auto"/>
            <w:vAlign w:val="center"/>
          </w:tcPr>
          <w:p w14:paraId="2FD4FEEC" w14:textId="01D2335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1,667</w:t>
            </w:r>
          </w:p>
        </w:tc>
        <w:tc>
          <w:tcPr>
            <w:tcW w:w="1078" w:type="dxa"/>
            <w:tcBorders>
              <w:top w:val="single" w:sz="4" w:space="0" w:color="auto"/>
              <w:left w:val="nil"/>
              <w:bottom w:val="single" w:sz="4" w:space="0" w:color="auto"/>
              <w:right w:val="nil"/>
            </w:tcBorders>
            <w:shd w:val="clear" w:color="auto" w:fill="auto"/>
            <w:vAlign w:val="center"/>
          </w:tcPr>
          <w:p w14:paraId="194480F3" w14:textId="780727A6"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848</w:t>
            </w:r>
          </w:p>
        </w:tc>
        <w:tc>
          <w:tcPr>
            <w:tcW w:w="1168" w:type="dxa"/>
            <w:tcBorders>
              <w:top w:val="single" w:sz="4" w:space="0" w:color="auto"/>
              <w:left w:val="nil"/>
              <w:bottom w:val="single" w:sz="4" w:space="0" w:color="auto"/>
              <w:right w:val="nil"/>
            </w:tcBorders>
            <w:shd w:val="clear" w:color="auto" w:fill="auto"/>
            <w:vAlign w:val="center"/>
          </w:tcPr>
          <w:p w14:paraId="74139C40"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-49%</w:t>
            </w:r>
          </w:p>
        </w:tc>
        <w:tc>
          <w:tcPr>
            <w:tcW w:w="4987" w:type="dxa"/>
            <w:tcBorders>
              <w:top w:val="single" w:sz="4" w:space="0" w:color="auto"/>
              <w:left w:val="nil"/>
              <w:bottom w:val="single" w:sz="4" w:space="0" w:color="auto"/>
              <w:right w:val="single" w:sz="4" w:space="0" w:color="auto"/>
            </w:tcBorders>
            <w:shd w:val="clear" w:color="auto" w:fill="auto"/>
            <w:vAlign w:val="center"/>
          </w:tcPr>
          <w:p w14:paraId="2F5E495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decrease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at IPP was due to several factors including changes in coal quality (a lower % sulfur in the coal burned in 2023 than 2022) and a reduction in load (IPP produced fewer megawatts/burned less coal in 2023 than in 2022).</w:t>
            </w:r>
          </w:p>
        </w:tc>
      </w:tr>
      <w:tr w:rsidR="00DF6D6F" w:rsidRPr="008B7C72" w14:paraId="1DC421DA"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3DF0940E"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lastRenderedPageBreak/>
              <w:t>UT</w:t>
            </w:r>
          </w:p>
        </w:tc>
        <w:tc>
          <w:tcPr>
            <w:tcW w:w="846" w:type="dxa"/>
            <w:tcBorders>
              <w:top w:val="single" w:sz="4" w:space="0" w:color="auto"/>
              <w:left w:val="nil"/>
              <w:bottom w:val="single" w:sz="4" w:space="0" w:color="auto"/>
              <w:right w:val="nil"/>
            </w:tcBorders>
            <w:shd w:val="clear" w:color="auto" w:fill="auto"/>
            <w:vAlign w:val="center"/>
          </w:tcPr>
          <w:p w14:paraId="516CC0A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35</w:t>
            </w:r>
          </w:p>
        </w:tc>
        <w:tc>
          <w:tcPr>
            <w:tcW w:w="1179" w:type="dxa"/>
            <w:tcBorders>
              <w:top w:val="single" w:sz="4" w:space="0" w:color="auto"/>
              <w:left w:val="nil"/>
              <w:bottom w:val="single" w:sz="4" w:space="0" w:color="auto"/>
              <w:right w:val="nil"/>
            </w:tcBorders>
            <w:shd w:val="clear" w:color="auto" w:fill="auto"/>
            <w:vAlign w:val="center"/>
          </w:tcPr>
          <w:p w14:paraId="542822F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10346</w:t>
            </w:r>
          </w:p>
        </w:tc>
        <w:tc>
          <w:tcPr>
            <w:tcW w:w="3167" w:type="dxa"/>
            <w:tcBorders>
              <w:top w:val="single" w:sz="4" w:space="0" w:color="auto"/>
              <w:left w:val="nil"/>
              <w:bottom w:val="single" w:sz="4" w:space="0" w:color="auto"/>
              <w:right w:val="nil"/>
            </w:tcBorders>
            <w:shd w:val="clear" w:color="auto" w:fill="auto"/>
            <w:vAlign w:val="center"/>
          </w:tcPr>
          <w:p w14:paraId="22D1EBBF"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Kennecott Utah Copper Corp. -- Smelter &amp; Refinery</w:t>
            </w:r>
          </w:p>
        </w:tc>
        <w:tc>
          <w:tcPr>
            <w:tcW w:w="1214" w:type="dxa"/>
            <w:tcBorders>
              <w:top w:val="single" w:sz="4" w:space="0" w:color="auto"/>
              <w:left w:val="nil"/>
              <w:bottom w:val="single" w:sz="4" w:space="0" w:color="auto"/>
              <w:right w:val="nil"/>
            </w:tcBorders>
            <w:shd w:val="clear" w:color="auto" w:fill="auto"/>
            <w:vAlign w:val="center"/>
          </w:tcPr>
          <w:p w14:paraId="6A4DB096" w14:textId="45891639"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642</w:t>
            </w:r>
          </w:p>
        </w:tc>
        <w:tc>
          <w:tcPr>
            <w:tcW w:w="1078" w:type="dxa"/>
            <w:tcBorders>
              <w:top w:val="single" w:sz="4" w:space="0" w:color="auto"/>
              <w:left w:val="nil"/>
              <w:bottom w:val="single" w:sz="4" w:space="0" w:color="auto"/>
              <w:right w:val="nil"/>
            </w:tcBorders>
            <w:shd w:val="clear" w:color="auto" w:fill="auto"/>
            <w:vAlign w:val="center"/>
          </w:tcPr>
          <w:p w14:paraId="417C5F28" w14:textId="3726707C"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430</w:t>
            </w:r>
          </w:p>
        </w:tc>
        <w:tc>
          <w:tcPr>
            <w:tcW w:w="1168" w:type="dxa"/>
            <w:tcBorders>
              <w:top w:val="single" w:sz="4" w:space="0" w:color="auto"/>
              <w:left w:val="nil"/>
              <w:bottom w:val="single" w:sz="4" w:space="0" w:color="auto"/>
              <w:right w:val="nil"/>
            </w:tcBorders>
            <w:shd w:val="clear" w:color="auto" w:fill="auto"/>
            <w:vAlign w:val="center"/>
          </w:tcPr>
          <w:p w14:paraId="5B5B5440"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-33%</w:t>
            </w:r>
          </w:p>
        </w:tc>
        <w:tc>
          <w:tcPr>
            <w:tcW w:w="4987" w:type="dxa"/>
            <w:tcBorders>
              <w:top w:val="single" w:sz="4" w:space="0" w:color="auto"/>
              <w:left w:val="nil"/>
              <w:bottom w:val="single" w:sz="4" w:space="0" w:color="auto"/>
              <w:right w:val="single" w:sz="4" w:space="0" w:color="auto"/>
            </w:tcBorders>
            <w:shd w:val="clear" w:color="auto" w:fill="auto"/>
            <w:vAlign w:val="center"/>
          </w:tcPr>
          <w:p w14:paraId="59BC0978"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decreased because the facility had an extended shutdown last year. For about 4 months, the facility didn’t smelt any copper, reducing the average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for the year.</w:t>
            </w:r>
          </w:p>
        </w:tc>
      </w:tr>
      <w:tr w:rsidR="00DF6D6F" w:rsidRPr="008B7C72" w14:paraId="319637F1"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08537932"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055D343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13</w:t>
            </w:r>
          </w:p>
        </w:tc>
        <w:tc>
          <w:tcPr>
            <w:tcW w:w="1179" w:type="dxa"/>
            <w:tcBorders>
              <w:top w:val="single" w:sz="4" w:space="0" w:color="auto"/>
              <w:left w:val="nil"/>
              <w:bottom w:val="single" w:sz="4" w:space="0" w:color="auto"/>
              <w:right w:val="nil"/>
            </w:tcBorders>
            <w:shd w:val="clear" w:color="auto" w:fill="auto"/>
            <w:vAlign w:val="center"/>
          </w:tcPr>
          <w:p w14:paraId="63A87BD7"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F000532</w:t>
            </w:r>
            <w:proofErr w:type="spellEnd"/>
          </w:p>
        </w:tc>
        <w:tc>
          <w:tcPr>
            <w:tcW w:w="3167" w:type="dxa"/>
            <w:tcBorders>
              <w:top w:val="single" w:sz="4" w:space="0" w:color="auto"/>
              <w:left w:val="nil"/>
              <w:bottom w:val="single" w:sz="4" w:space="0" w:color="auto"/>
              <w:right w:val="nil"/>
            </w:tcBorders>
            <w:shd w:val="clear" w:color="auto" w:fill="auto"/>
            <w:vAlign w:val="center"/>
          </w:tcPr>
          <w:p w14:paraId="51A3D5D9"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Contango Resources LLC -- Lost Cabin Gas Plant</w:t>
            </w:r>
          </w:p>
        </w:tc>
        <w:tc>
          <w:tcPr>
            <w:tcW w:w="1214" w:type="dxa"/>
            <w:tcBorders>
              <w:top w:val="single" w:sz="4" w:space="0" w:color="auto"/>
              <w:left w:val="nil"/>
              <w:bottom w:val="single" w:sz="4" w:space="0" w:color="auto"/>
              <w:right w:val="nil"/>
            </w:tcBorders>
            <w:shd w:val="clear" w:color="auto" w:fill="auto"/>
            <w:vAlign w:val="center"/>
          </w:tcPr>
          <w:p w14:paraId="154FD182" w14:textId="5B56387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1,482</w:t>
            </w:r>
          </w:p>
        </w:tc>
        <w:tc>
          <w:tcPr>
            <w:tcW w:w="1078" w:type="dxa"/>
            <w:tcBorders>
              <w:top w:val="single" w:sz="4" w:space="0" w:color="auto"/>
              <w:left w:val="nil"/>
              <w:bottom w:val="single" w:sz="4" w:space="0" w:color="auto"/>
              <w:right w:val="nil"/>
            </w:tcBorders>
            <w:shd w:val="clear" w:color="auto" w:fill="auto"/>
            <w:vAlign w:val="center"/>
          </w:tcPr>
          <w:p w14:paraId="32251C61" w14:textId="15C0CE0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2,020</w:t>
            </w:r>
          </w:p>
        </w:tc>
        <w:tc>
          <w:tcPr>
            <w:tcW w:w="1168" w:type="dxa"/>
            <w:tcBorders>
              <w:top w:val="single" w:sz="4" w:space="0" w:color="auto"/>
              <w:left w:val="nil"/>
              <w:bottom w:val="single" w:sz="4" w:space="0" w:color="auto"/>
              <w:right w:val="nil"/>
            </w:tcBorders>
            <w:shd w:val="clear" w:color="auto" w:fill="auto"/>
            <w:vAlign w:val="center"/>
          </w:tcPr>
          <w:p w14:paraId="54BE78E6"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36%</w:t>
            </w:r>
          </w:p>
        </w:tc>
        <w:tc>
          <w:tcPr>
            <w:tcW w:w="4987" w:type="dxa"/>
            <w:tcBorders>
              <w:top w:val="single" w:sz="4" w:space="0" w:color="auto"/>
              <w:left w:val="nil"/>
              <w:bottom w:val="single" w:sz="4" w:space="0" w:color="auto"/>
              <w:right w:val="single" w:sz="4" w:space="0" w:color="auto"/>
            </w:tcBorders>
            <w:shd w:val="clear" w:color="auto" w:fill="auto"/>
            <w:vAlign w:val="center"/>
          </w:tcPr>
          <w:p w14:paraId="2A30EA38" w14:textId="4DEA62B3"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 xml:space="preserve">The 2022 Train 3 Flare (FLR002) emissions decreased by 110% from 2021. </w:t>
            </w:r>
            <w:proofErr w:type="gramStart"/>
            <w:r w:rsidRPr="00DF6D6F">
              <w:rPr>
                <w:rFonts w:asciiTheme="majorHAnsi" w:hAnsiTheme="majorHAnsi" w:cstheme="majorHAnsi"/>
                <w:sz w:val="18"/>
                <w:szCs w:val="18"/>
              </w:rPr>
              <w:t>Flaring</w:t>
            </w:r>
            <w:proofErr w:type="gramEnd"/>
            <w:r w:rsidRPr="00DF6D6F">
              <w:rPr>
                <w:rFonts w:asciiTheme="majorHAnsi" w:hAnsiTheme="majorHAnsi" w:cstheme="majorHAnsi"/>
                <w:sz w:val="18"/>
                <w:szCs w:val="18"/>
              </w:rPr>
              <w:t xml:space="preserve"> from Bighorn wells prior to the startup and difficulties during startup contributed significantly to the 2021 flaring emissions. 2022 </w:t>
            </w:r>
            <w:r w:rsidR="00F50FC9" w:rsidRPr="008B7C72">
              <w:rPr>
                <w:rFonts w:asciiTheme="majorHAnsi" w:hAnsiTheme="majorHAnsi" w:cstheme="majorHAnsi"/>
                <w:sz w:val="18"/>
                <w:szCs w:val="18"/>
              </w:rPr>
              <w:t>sulfur</w:t>
            </w:r>
            <w:r w:rsidRPr="00DF6D6F">
              <w:rPr>
                <w:rFonts w:asciiTheme="majorHAnsi" w:hAnsiTheme="majorHAnsi" w:cstheme="majorHAnsi"/>
                <w:sz w:val="18"/>
                <w:szCs w:val="18"/>
              </w:rPr>
              <w:t xml:space="preserve"> tank emissions decreased by 40% from 2021. INC004 emissions decreased by 26% from 2021. Used lower emission factor in 2022</w:t>
            </w:r>
          </w:p>
        </w:tc>
      </w:tr>
      <w:tr w:rsidR="00DF6D6F" w:rsidRPr="008B7C72" w14:paraId="097F777D"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6AECEAF8"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1DFF24CE"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41</w:t>
            </w:r>
          </w:p>
        </w:tc>
        <w:tc>
          <w:tcPr>
            <w:tcW w:w="1179" w:type="dxa"/>
            <w:tcBorders>
              <w:top w:val="single" w:sz="4" w:space="0" w:color="auto"/>
              <w:left w:val="nil"/>
              <w:bottom w:val="single" w:sz="4" w:space="0" w:color="auto"/>
              <w:right w:val="nil"/>
            </w:tcBorders>
            <w:shd w:val="clear" w:color="auto" w:fill="auto"/>
            <w:vAlign w:val="center"/>
          </w:tcPr>
          <w:p w14:paraId="6033BE49"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F000191</w:t>
            </w:r>
            <w:proofErr w:type="spellEnd"/>
          </w:p>
        </w:tc>
        <w:tc>
          <w:tcPr>
            <w:tcW w:w="3167" w:type="dxa"/>
            <w:tcBorders>
              <w:top w:val="single" w:sz="4" w:space="0" w:color="auto"/>
              <w:left w:val="nil"/>
              <w:bottom w:val="single" w:sz="4" w:space="0" w:color="auto"/>
              <w:right w:val="nil"/>
            </w:tcBorders>
            <w:shd w:val="clear" w:color="auto" w:fill="auto"/>
            <w:vAlign w:val="center"/>
          </w:tcPr>
          <w:p w14:paraId="3C17F35A"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Hilcorp Energy Company -- Carter Creek Gas Plant</w:t>
            </w:r>
          </w:p>
        </w:tc>
        <w:tc>
          <w:tcPr>
            <w:tcW w:w="1214" w:type="dxa"/>
            <w:tcBorders>
              <w:top w:val="single" w:sz="4" w:space="0" w:color="auto"/>
              <w:left w:val="nil"/>
              <w:bottom w:val="single" w:sz="4" w:space="0" w:color="auto"/>
              <w:right w:val="nil"/>
            </w:tcBorders>
            <w:shd w:val="clear" w:color="auto" w:fill="auto"/>
            <w:vAlign w:val="center"/>
          </w:tcPr>
          <w:p w14:paraId="7DDF8EB2" w14:textId="20AD91A1"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152</w:t>
            </w:r>
          </w:p>
        </w:tc>
        <w:tc>
          <w:tcPr>
            <w:tcW w:w="1078" w:type="dxa"/>
            <w:tcBorders>
              <w:top w:val="single" w:sz="4" w:space="0" w:color="auto"/>
              <w:left w:val="nil"/>
              <w:bottom w:val="single" w:sz="4" w:space="0" w:color="auto"/>
              <w:right w:val="nil"/>
            </w:tcBorders>
            <w:shd w:val="clear" w:color="auto" w:fill="auto"/>
            <w:vAlign w:val="center"/>
          </w:tcPr>
          <w:p w14:paraId="04723C0D" w14:textId="3DB89D36"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379</w:t>
            </w:r>
          </w:p>
        </w:tc>
        <w:tc>
          <w:tcPr>
            <w:tcW w:w="1168" w:type="dxa"/>
            <w:tcBorders>
              <w:top w:val="single" w:sz="4" w:space="0" w:color="auto"/>
              <w:left w:val="nil"/>
              <w:bottom w:val="single" w:sz="4" w:space="0" w:color="auto"/>
              <w:right w:val="nil"/>
            </w:tcBorders>
            <w:shd w:val="clear" w:color="auto" w:fill="auto"/>
            <w:vAlign w:val="center"/>
          </w:tcPr>
          <w:p w14:paraId="2D767C17"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150%</w:t>
            </w:r>
          </w:p>
        </w:tc>
        <w:tc>
          <w:tcPr>
            <w:tcW w:w="4987" w:type="dxa"/>
            <w:tcBorders>
              <w:top w:val="single" w:sz="4" w:space="0" w:color="auto"/>
              <w:left w:val="nil"/>
              <w:bottom w:val="single" w:sz="4" w:space="0" w:color="auto"/>
              <w:right w:val="single" w:sz="4" w:space="0" w:color="auto"/>
            </w:tcBorders>
            <w:shd w:val="clear" w:color="auto" w:fill="auto"/>
            <w:vAlign w:val="center"/>
          </w:tcPr>
          <w:p w14:paraId="35834F21"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2022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reflect a 313.13% increase as the Plant experienced an Unavoidable Equipment Malfunction event that spanned over several days, which was documented with the WDEQ, in December 2022.</w:t>
            </w:r>
          </w:p>
        </w:tc>
      </w:tr>
      <w:tr w:rsidR="00DF6D6F" w:rsidRPr="008B7C72" w14:paraId="541FDEA9"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A17A95C"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78C91C0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23</w:t>
            </w:r>
          </w:p>
        </w:tc>
        <w:tc>
          <w:tcPr>
            <w:tcW w:w="1179" w:type="dxa"/>
            <w:tcBorders>
              <w:top w:val="single" w:sz="4" w:space="0" w:color="auto"/>
              <w:left w:val="nil"/>
              <w:bottom w:val="single" w:sz="4" w:space="0" w:color="auto"/>
              <w:right w:val="nil"/>
            </w:tcBorders>
            <w:shd w:val="clear" w:color="auto" w:fill="auto"/>
            <w:vAlign w:val="center"/>
          </w:tcPr>
          <w:p w14:paraId="5645A1F2"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F000329</w:t>
            </w:r>
            <w:proofErr w:type="spellEnd"/>
          </w:p>
        </w:tc>
        <w:tc>
          <w:tcPr>
            <w:tcW w:w="3167" w:type="dxa"/>
            <w:tcBorders>
              <w:top w:val="single" w:sz="4" w:space="0" w:color="auto"/>
              <w:left w:val="nil"/>
              <w:bottom w:val="single" w:sz="4" w:space="0" w:color="auto"/>
              <w:right w:val="nil"/>
            </w:tcBorders>
            <w:shd w:val="clear" w:color="auto" w:fill="auto"/>
            <w:vAlign w:val="center"/>
          </w:tcPr>
          <w:p w14:paraId="4862938F" w14:textId="3AE0A5AC"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Exxon Mobil Corporation -- Labarge Black Canyon</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Dehydration Facility</w:t>
            </w:r>
          </w:p>
        </w:tc>
        <w:tc>
          <w:tcPr>
            <w:tcW w:w="1214" w:type="dxa"/>
            <w:tcBorders>
              <w:top w:val="single" w:sz="4" w:space="0" w:color="auto"/>
              <w:left w:val="nil"/>
              <w:bottom w:val="single" w:sz="4" w:space="0" w:color="auto"/>
              <w:right w:val="nil"/>
            </w:tcBorders>
            <w:shd w:val="clear" w:color="auto" w:fill="auto"/>
            <w:vAlign w:val="center"/>
          </w:tcPr>
          <w:p w14:paraId="08C3BC34" w14:textId="6E7404A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63</w:t>
            </w:r>
          </w:p>
        </w:tc>
        <w:tc>
          <w:tcPr>
            <w:tcW w:w="1078" w:type="dxa"/>
            <w:tcBorders>
              <w:top w:val="single" w:sz="4" w:space="0" w:color="auto"/>
              <w:left w:val="nil"/>
              <w:bottom w:val="single" w:sz="4" w:space="0" w:color="auto"/>
              <w:right w:val="nil"/>
            </w:tcBorders>
            <w:shd w:val="clear" w:color="auto" w:fill="auto"/>
            <w:vAlign w:val="center"/>
          </w:tcPr>
          <w:p w14:paraId="5817D5E7" w14:textId="73E31A96"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0</w:t>
            </w:r>
          </w:p>
        </w:tc>
        <w:tc>
          <w:tcPr>
            <w:tcW w:w="1168" w:type="dxa"/>
            <w:tcBorders>
              <w:top w:val="single" w:sz="4" w:space="0" w:color="auto"/>
              <w:left w:val="nil"/>
              <w:bottom w:val="single" w:sz="4" w:space="0" w:color="auto"/>
              <w:right w:val="nil"/>
            </w:tcBorders>
            <w:shd w:val="clear" w:color="auto" w:fill="auto"/>
            <w:vAlign w:val="center"/>
          </w:tcPr>
          <w:p w14:paraId="2575F5E8"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-100%</w:t>
            </w:r>
          </w:p>
        </w:tc>
        <w:tc>
          <w:tcPr>
            <w:tcW w:w="4987" w:type="dxa"/>
            <w:tcBorders>
              <w:top w:val="single" w:sz="4" w:space="0" w:color="auto"/>
              <w:left w:val="nil"/>
              <w:bottom w:val="single" w:sz="4" w:space="0" w:color="auto"/>
              <w:right w:val="single" w:sz="4" w:space="0" w:color="auto"/>
            </w:tcBorders>
            <w:shd w:val="clear" w:color="auto" w:fill="auto"/>
            <w:vAlign w:val="center"/>
          </w:tcPr>
          <w:p w14:paraId="396789D7" w14:textId="2E2EDF4F"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Major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contributing events for BC in 2022 were on August 6th through August 8th.</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 xml:space="preserve">The highest volume event occurred on August 8th, </w:t>
            </w:r>
            <w:r w:rsidR="00F50FC9" w:rsidRPr="008B7C72">
              <w:rPr>
                <w:rFonts w:asciiTheme="majorHAnsi" w:hAnsiTheme="majorHAnsi" w:cstheme="majorHAnsi"/>
                <w:sz w:val="18"/>
                <w:szCs w:val="18"/>
              </w:rPr>
              <w:t>2022,</w:t>
            </w:r>
            <w:r w:rsidRPr="00DF6D6F">
              <w:rPr>
                <w:rFonts w:asciiTheme="majorHAnsi" w:hAnsiTheme="majorHAnsi" w:cstheme="majorHAnsi"/>
                <w:sz w:val="18"/>
                <w:szCs w:val="18"/>
              </w:rPr>
              <w:t xml:space="preserve"> when a failed O-ring at the facility led us to shut down and de-inventory to make repairs.</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This single event accounted for 48.82 tons of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which is 78% of the 62.7 tons of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reported via the Black Canyon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Inventory.</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This unavoidable equipment malfunction caused most of the piping infrastructure to depressurize which led to elevated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w:t>
            </w:r>
          </w:p>
        </w:tc>
      </w:tr>
      <w:tr w:rsidR="00DF6D6F" w:rsidRPr="008B7C72" w14:paraId="6A9F3DCF"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65ADE643"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5B67959E"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23</w:t>
            </w:r>
          </w:p>
        </w:tc>
        <w:tc>
          <w:tcPr>
            <w:tcW w:w="1179" w:type="dxa"/>
            <w:tcBorders>
              <w:top w:val="single" w:sz="4" w:space="0" w:color="auto"/>
              <w:left w:val="nil"/>
              <w:bottom w:val="single" w:sz="4" w:space="0" w:color="auto"/>
              <w:right w:val="nil"/>
            </w:tcBorders>
            <w:shd w:val="clear" w:color="auto" w:fill="auto"/>
            <w:vAlign w:val="center"/>
          </w:tcPr>
          <w:p w14:paraId="2FE3C337"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 xml:space="preserve"> </w:t>
            </w:r>
            <w:proofErr w:type="spellStart"/>
            <w:r w:rsidRPr="00DF6D6F">
              <w:rPr>
                <w:rFonts w:asciiTheme="majorHAnsi" w:hAnsiTheme="majorHAnsi" w:cstheme="majorHAnsi"/>
                <w:sz w:val="18"/>
                <w:szCs w:val="18"/>
              </w:rPr>
              <w:t>F000327</w:t>
            </w:r>
            <w:proofErr w:type="spellEnd"/>
            <w:r w:rsidRPr="00DF6D6F">
              <w:rPr>
                <w:rFonts w:asciiTheme="majorHAnsi" w:hAnsiTheme="majorHAnsi" w:cstheme="majorHAnsi"/>
                <w:sz w:val="18"/>
                <w:szCs w:val="18"/>
              </w:rPr>
              <w:t xml:space="preserve"> </w:t>
            </w:r>
          </w:p>
        </w:tc>
        <w:tc>
          <w:tcPr>
            <w:tcW w:w="3167" w:type="dxa"/>
            <w:tcBorders>
              <w:top w:val="single" w:sz="4" w:space="0" w:color="auto"/>
              <w:left w:val="nil"/>
              <w:bottom w:val="single" w:sz="4" w:space="0" w:color="auto"/>
              <w:right w:val="nil"/>
            </w:tcBorders>
            <w:shd w:val="clear" w:color="auto" w:fill="auto"/>
            <w:vAlign w:val="center"/>
          </w:tcPr>
          <w:p w14:paraId="4FC4CF46"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Exxon Mobil Corporation -- Shute Creek Treating Facility</w:t>
            </w:r>
          </w:p>
        </w:tc>
        <w:tc>
          <w:tcPr>
            <w:tcW w:w="1214" w:type="dxa"/>
            <w:tcBorders>
              <w:top w:val="single" w:sz="4" w:space="0" w:color="auto"/>
              <w:left w:val="nil"/>
              <w:bottom w:val="single" w:sz="4" w:space="0" w:color="auto"/>
              <w:right w:val="nil"/>
            </w:tcBorders>
            <w:shd w:val="clear" w:color="auto" w:fill="auto"/>
            <w:vAlign w:val="center"/>
          </w:tcPr>
          <w:p w14:paraId="4C509668" w14:textId="451BE34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1,911</w:t>
            </w:r>
          </w:p>
        </w:tc>
        <w:tc>
          <w:tcPr>
            <w:tcW w:w="1078" w:type="dxa"/>
            <w:tcBorders>
              <w:top w:val="single" w:sz="4" w:space="0" w:color="auto"/>
              <w:left w:val="nil"/>
              <w:bottom w:val="single" w:sz="4" w:space="0" w:color="auto"/>
              <w:right w:val="nil"/>
            </w:tcBorders>
            <w:shd w:val="clear" w:color="auto" w:fill="auto"/>
            <w:vAlign w:val="center"/>
          </w:tcPr>
          <w:p w14:paraId="4AA6F5CA" w14:textId="59EAF90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1,114</w:t>
            </w:r>
          </w:p>
        </w:tc>
        <w:tc>
          <w:tcPr>
            <w:tcW w:w="1168" w:type="dxa"/>
            <w:tcBorders>
              <w:top w:val="single" w:sz="4" w:space="0" w:color="auto"/>
              <w:left w:val="nil"/>
              <w:bottom w:val="single" w:sz="4" w:space="0" w:color="auto"/>
              <w:right w:val="nil"/>
            </w:tcBorders>
            <w:shd w:val="clear" w:color="auto" w:fill="auto"/>
            <w:vAlign w:val="center"/>
          </w:tcPr>
          <w:p w14:paraId="02301057"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-42%</w:t>
            </w:r>
          </w:p>
        </w:tc>
        <w:tc>
          <w:tcPr>
            <w:tcW w:w="4987" w:type="dxa"/>
            <w:tcBorders>
              <w:top w:val="single" w:sz="4" w:space="0" w:color="auto"/>
              <w:left w:val="nil"/>
              <w:bottom w:val="single" w:sz="4" w:space="0" w:color="auto"/>
              <w:right w:val="single" w:sz="4" w:space="0" w:color="auto"/>
            </w:tcBorders>
            <w:shd w:val="clear" w:color="auto" w:fill="auto"/>
            <w:vAlign w:val="center"/>
          </w:tcPr>
          <w:p w14:paraId="08EF97CD" w14:textId="6EC0DD1B"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Major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contributing events for the SCF were due to variety of equipment malfunctions mainly at the end of March, end of May, middle of August and end of December.</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 xml:space="preserve">The highest volume event in 2022 occurred on March 29th through April 1st due to the loss of instrument air which caused a total plant shutdown and resulted in 846.43 </w:t>
            </w:r>
          </w:p>
        </w:tc>
      </w:tr>
      <w:tr w:rsidR="00DF6D6F" w:rsidRPr="008B7C72" w14:paraId="35556600"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7A1310B8"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lastRenderedPageBreak/>
              <w:t>WY</w:t>
            </w:r>
          </w:p>
        </w:tc>
        <w:tc>
          <w:tcPr>
            <w:tcW w:w="846" w:type="dxa"/>
            <w:tcBorders>
              <w:top w:val="single" w:sz="4" w:space="0" w:color="auto"/>
              <w:left w:val="nil"/>
              <w:bottom w:val="single" w:sz="4" w:space="0" w:color="auto"/>
              <w:right w:val="nil"/>
            </w:tcBorders>
            <w:shd w:val="clear" w:color="auto" w:fill="auto"/>
            <w:vAlign w:val="center"/>
          </w:tcPr>
          <w:p w14:paraId="48754E4A"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29</w:t>
            </w:r>
          </w:p>
        </w:tc>
        <w:tc>
          <w:tcPr>
            <w:tcW w:w="1179" w:type="dxa"/>
            <w:tcBorders>
              <w:top w:val="single" w:sz="4" w:space="0" w:color="auto"/>
              <w:left w:val="nil"/>
              <w:bottom w:val="single" w:sz="4" w:space="0" w:color="auto"/>
              <w:right w:val="nil"/>
            </w:tcBorders>
            <w:shd w:val="clear" w:color="auto" w:fill="auto"/>
            <w:vAlign w:val="center"/>
          </w:tcPr>
          <w:p w14:paraId="57495901"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F000539</w:t>
            </w:r>
            <w:proofErr w:type="spellEnd"/>
          </w:p>
        </w:tc>
        <w:tc>
          <w:tcPr>
            <w:tcW w:w="3167" w:type="dxa"/>
            <w:tcBorders>
              <w:top w:val="single" w:sz="4" w:space="0" w:color="auto"/>
              <w:left w:val="nil"/>
              <w:bottom w:val="single" w:sz="4" w:space="0" w:color="auto"/>
              <w:right w:val="nil"/>
            </w:tcBorders>
            <w:shd w:val="clear" w:color="auto" w:fill="auto"/>
            <w:vAlign w:val="center"/>
          </w:tcPr>
          <w:p w14:paraId="33E85953"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Merit Energy Company -- Oregon Basin Gas Plant</w:t>
            </w:r>
          </w:p>
        </w:tc>
        <w:tc>
          <w:tcPr>
            <w:tcW w:w="1214" w:type="dxa"/>
            <w:tcBorders>
              <w:top w:val="single" w:sz="4" w:space="0" w:color="auto"/>
              <w:left w:val="nil"/>
              <w:bottom w:val="single" w:sz="4" w:space="0" w:color="auto"/>
              <w:right w:val="nil"/>
            </w:tcBorders>
            <w:shd w:val="clear" w:color="auto" w:fill="auto"/>
            <w:vAlign w:val="center"/>
          </w:tcPr>
          <w:p w14:paraId="73B79672" w14:textId="266154E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263</w:t>
            </w:r>
          </w:p>
        </w:tc>
        <w:tc>
          <w:tcPr>
            <w:tcW w:w="1078" w:type="dxa"/>
            <w:tcBorders>
              <w:top w:val="single" w:sz="4" w:space="0" w:color="auto"/>
              <w:left w:val="nil"/>
              <w:bottom w:val="single" w:sz="4" w:space="0" w:color="auto"/>
              <w:right w:val="nil"/>
            </w:tcBorders>
            <w:shd w:val="clear" w:color="auto" w:fill="auto"/>
            <w:vAlign w:val="center"/>
          </w:tcPr>
          <w:p w14:paraId="651396B0" w14:textId="7F02A19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344</w:t>
            </w:r>
          </w:p>
        </w:tc>
        <w:tc>
          <w:tcPr>
            <w:tcW w:w="1168" w:type="dxa"/>
            <w:tcBorders>
              <w:top w:val="single" w:sz="4" w:space="0" w:color="auto"/>
              <w:left w:val="nil"/>
              <w:bottom w:val="single" w:sz="4" w:space="0" w:color="auto"/>
              <w:right w:val="nil"/>
            </w:tcBorders>
            <w:shd w:val="clear" w:color="auto" w:fill="auto"/>
            <w:vAlign w:val="center"/>
          </w:tcPr>
          <w:p w14:paraId="3B88C0C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31%</w:t>
            </w:r>
          </w:p>
        </w:tc>
        <w:tc>
          <w:tcPr>
            <w:tcW w:w="4987" w:type="dxa"/>
            <w:tcBorders>
              <w:top w:val="single" w:sz="4" w:space="0" w:color="auto"/>
              <w:left w:val="nil"/>
              <w:bottom w:val="single" w:sz="4" w:space="0" w:color="auto"/>
              <w:right w:val="single" w:sz="4" w:space="0" w:color="auto"/>
            </w:tcBorders>
            <w:shd w:val="clear" w:color="auto" w:fill="auto"/>
            <w:vAlign w:val="center"/>
          </w:tcPr>
          <w:p w14:paraId="08580F73" w14:textId="07E0A606"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The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for our Oregon Basin field </w:t>
            </w:r>
            <w:proofErr w:type="gramStart"/>
            <w:r w:rsidRPr="00DF6D6F">
              <w:rPr>
                <w:rFonts w:asciiTheme="majorHAnsi" w:hAnsiTheme="majorHAnsi" w:cstheme="majorHAnsi"/>
                <w:sz w:val="18"/>
                <w:szCs w:val="18"/>
              </w:rPr>
              <w:t>is</w:t>
            </w:r>
            <w:proofErr w:type="gramEnd"/>
            <w:r w:rsidRPr="00DF6D6F">
              <w:rPr>
                <w:rFonts w:asciiTheme="majorHAnsi" w:hAnsiTheme="majorHAnsi" w:cstheme="majorHAnsi"/>
                <w:sz w:val="18"/>
                <w:szCs w:val="18"/>
              </w:rPr>
              <w:t xml:space="preserve"> all from our flares.</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Our flares act as emergency control devices when our VRUs go down for various reasons in the field.</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Because they are emergency flares and not process flares, this means that the volumes that can end up going to them can vary significantly year to year.</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 xml:space="preserve">For </w:t>
            </w:r>
            <w:r w:rsidR="00F9532F" w:rsidRPr="00DF6D6F">
              <w:rPr>
                <w:rFonts w:asciiTheme="majorHAnsi" w:hAnsiTheme="majorHAnsi" w:cstheme="majorHAnsi"/>
                <w:sz w:val="18"/>
                <w:szCs w:val="18"/>
              </w:rPr>
              <w:t>instance,</w:t>
            </w:r>
            <w:r w:rsidRPr="00DF6D6F">
              <w:rPr>
                <w:rFonts w:asciiTheme="majorHAnsi" w:hAnsiTheme="majorHAnsi" w:cstheme="majorHAnsi"/>
                <w:sz w:val="18"/>
                <w:szCs w:val="18"/>
              </w:rPr>
              <w:t xml:space="preserve"> we had a lot of issues with our Battery 3 south in 2022, and so why the emissions increased so much.</w:t>
            </w:r>
            <w:r w:rsidR="00F50FC9" w:rsidRPr="008B7C72">
              <w:rPr>
                <w:rFonts w:asciiTheme="majorHAnsi" w:hAnsiTheme="majorHAnsi" w:cstheme="majorHAnsi"/>
                <w:sz w:val="18"/>
                <w:szCs w:val="18"/>
              </w:rPr>
              <w:t xml:space="preserve"> </w:t>
            </w:r>
            <w:r w:rsidRPr="00DF6D6F">
              <w:rPr>
                <w:rFonts w:asciiTheme="majorHAnsi" w:hAnsiTheme="majorHAnsi" w:cstheme="majorHAnsi"/>
                <w:sz w:val="18"/>
                <w:szCs w:val="18"/>
              </w:rPr>
              <w:t>While at other batteries, emissions decreased because of a lessening of emergency situations. We do permit each of our facilities to have an amount of VRU downtime (when we would be flaring) for these emergency instances and we track these volumes and emissions to ensure that we do not go over the permitted amount.</w:t>
            </w:r>
          </w:p>
        </w:tc>
      </w:tr>
      <w:tr w:rsidR="00DF6D6F" w:rsidRPr="008B7C72" w14:paraId="4E9ED62F"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2836E2D2"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5CA85D71"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9</w:t>
            </w:r>
          </w:p>
        </w:tc>
        <w:tc>
          <w:tcPr>
            <w:tcW w:w="1179" w:type="dxa"/>
            <w:tcBorders>
              <w:top w:val="single" w:sz="4" w:space="0" w:color="auto"/>
              <w:left w:val="nil"/>
              <w:bottom w:val="single" w:sz="4" w:space="0" w:color="auto"/>
              <w:right w:val="nil"/>
            </w:tcBorders>
            <w:shd w:val="clear" w:color="auto" w:fill="auto"/>
            <w:vAlign w:val="center"/>
          </w:tcPr>
          <w:p w14:paraId="42159902"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F000644</w:t>
            </w:r>
            <w:proofErr w:type="spellEnd"/>
          </w:p>
        </w:tc>
        <w:tc>
          <w:tcPr>
            <w:tcW w:w="3167" w:type="dxa"/>
            <w:tcBorders>
              <w:top w:val="single" w:sz="4" w:space="0" w:color="auto"/>
              <w:left w:val="nil"/>
              <w:bottom w:val="single" w:sz="4" w:space="0" w:color="auto"/>
              <w:right w:val="nil"/>
            </w:tcBorders>
            <w:shd w:val="clear" w:color="auto" w:fill="auto"/>
            <w:vAlign w:val="center"/>
          </w:tcPr>
          <w:p w14:paraId="519BBD37" w14:textId="77777777" w:rsidR="00DF6D6F" w:rsidRPr="00DF6D6F" w:rsidRDefault="00DF6D6F" w:rsidP="00DF6D6F">
            <w:pPr>
              <w:spacing w:line="240" w:lineRule="auto"/>
              <w:rPr>
                <w:rFonts w:asciiTheme="majorHAnsi" w:hAnsiTheme="majorHAnsi" w:cstheme="majorHAnsi"/>
                <w:sz w:val="18"/>
                <w:szCs w:val="18"/>
              </w:rPr>
            </w:pPr>
            <w:proofErr w:type="spellStart"/>
            <w:r w:rsidRPr="00DF6D6F">
              <w:rPr>
                <w:rFonts w:asciiTheme="majorHAnsi" w:hAnsiTheme="majorHAnsi" w:cstheme="majorHAnsi"/>
                <w:sz w:val="18"/>
                <w:szCs w:val="18"/>
              </w:rPr>
              <w:t>Pacificorp</w:t>
            </w:r>
            <w:proofErr w:type="spellEnd"/>
            <w:r w:rsidRPr="00DF6D6F">
              <w:rPr>
                <w:rFonts w:asciiTheme="majorHAnsi" w:hAnsiTheme="majorHAnsi" w:cstheme="majorHAnsi"/>
                <w:sz w:val="18"/>
                <w:szCs w:val="18"/>
              </w:rPr>
              <w:t xml:space="preserve"> - Dave Johnston Plant</w:t>
            </w:r>
          </w:p>
        </w:tc>
        <w:tc>
          <w:tcPr>
            <w:tcW w:w="1214" w:type="dxa"/>
            <w:tcBorders>
              <w:top w:val="single" w:sz="4" w:space="0" w:color="auto"/>
              <w:left w:val="nil"/>
              <w:bottom w:val="single" w:sz="4" w:space="0" w:color="auto"/>
              <w:right w:val="nil"/>
            </w:tcBorders>
            <w:shd w:val="clear" w:color="auto" w:fill="auto"/>
            <w:vAlign w:val="center"/>
          </w:tcPr>
          <w:p w14:paraId="5EB6B880" w14:textId="2DE4D7CD"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7,292</w:t>
            </w:r>
          </w:p>
        </w:tc>
        <w:tc>
          <w:tcPr>
            <w:tcW w:w="1078" w:type="dxa"/>
            <w:tcBorders>
              <w:top w:val="single" w:sz="4" w:space="0" w:color="auto"/>
              <w:left w:val="nil"/>
              <w:bottom w:val="single" w:sz="4" w:space="0" w:color="auto"/>
              <w:right w:val="nil"/>
            </w:tcBorders>
            <w:shd w:val="clear" w:color="auto" w:fill="auto"/>
            <w:vAlign w:val="center"/>
          </w:tcPr>
          <w:p w14:paraId="22D0F851" w14:textId="3F37B255"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5,501</w:t>
            </w:r>
          </w:p>
        </w:tc>
        <w:tc>
          <w:tcPr>
            <w:tcW w:w="1168" w:type="dxa"/>
            <w:tcBorders>
              <w:top w:val="single" w:sz="4" w:space="0" w:color="auto"/>
              <w:left w:val="nil"/>
              <w:bottom w:val="single" w:sz="4" w:space="0" w:color="auto"/>
              <w:right w:val="nil"/>
            </w:tcBorders>
            <w:shd w:val="clear" w:color="auto" w:fill="auto"/>
            <w:vAlign w:val="center"/>
          </w:tcPr>
          <w:p w14:paraId="45D311E5"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-25%</w:t>
            </w:r>
          </w:p>
        </w:tc>
        <w:tc>
          <w:tcPr>
            <w:tcW w:w="4987" w:type="dxa"/>
            <w:tcBorders>
              <w:top w:val="single" w:sz="4" w:space="0" w:color="auto"/>
              <w:left w:val="nil"/>
              <w:bottom w:val="single" w:sz="4" w:space="0" w:color="auto"/>
              <w:right w:val="single" w:sz="4" w:space="0" w:color="auto"/>
            </w:tcBorders>
            <w:shd w:val="clear" w:color="auto" w:fill="auto"/>
            <w:vAlign w:val="center"/>
          </w:tcPr>
          <w:p w14:paraId="4D624932"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Reduction in 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correlate directly with the overall operation hours and load of these units.</w:t>
            </w:r>
          </w:p>
        </w:tc>
      </w:tr>
      <w:tr w:rsidR="00DF6D6F" w:rsidRPr="008B7C72" w14:paraId="1E9226E7"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3E8BACCE"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0F712B9D"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1</w:t>
            </w:r>
          </w:p>
        </w:tc>
        <w:tc>
          <w:tcPr>
            <w:tcW w:w="1179" w:type="dxa"/>
            <w:tcBorders>
              <w:top w:val="single" w:sz="4" w:space="0" w:color="auto"/>
              <w:left w:val="nil"/>
              <w:bottom w:val="single" w:sz="4" w:space="0" w:color="auto"/>
              <w:right w:val="nil"/>
            </w:tcBorders>
            <w:shd w:val="clear" w:color="auto" w:fill="auto"/>
            <w:vAlign w:val="center"/>
          </w:tcPr>
          <w:p w14:paraId="03A2D22C"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F000832</w:t>
            </w:r>
            <w:proofErr w:type="spellEnd"/>
          </w:p>
        </w:tc>
        <w:tc>
          <w:tcPr>
            <w:tcW w:w="3167" w:type="dxa"/>
            <w:tcBorders>
              <w:top w:val="single" w:sz="4" w:space="0" w:color="auto"/>
              <w:left w:val="nil"/>
              <w:bottom w:val="single" w:sz="4" w:space="0" w:color="auto"/>
              <w:right w:val="nil"/>
            </w:tcBorders>
            <w:shd w:val="clear" w:color="auto" w:fill="auto"/>
            <w:vAlign w:val="center"/>
          </w:tcPr>
          <w:p w14:paraId="186594F0"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University of Wyoming - Heat Plant</w:t>
            </w:r>
          </w:p>
        </w:tc>
        <w:tc>
          <w:tcPr>
            <w:tcW w:w="1214" w:type="dxa"/>
            <w:tcBorders>
              <w:top w:val="single" w:sz="4" w:space="0" w:color="auto"/>
              <w:left w:val="nil"/>
              <w:bottom w:val="single" w:sz="4" w:space="0" w:color="auto"/>
              <w:right w:val="nil"/>
            </w:tcBorders>
            <w:shd w:val="clear" w:color="auto" w:fill="auto"/>
            <w:vAlign w:val="center"/>
          </w:tcPr>
          <w:p w14:paraId="0C0F8273" w14:textId="56C13F12"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82</w:t>
            </w:r>
          </w:p>
        </w:tc>
        <w:tc>
          <w:tcPr>
            <w:tcW w:w="1078" w:type="dxa"/>
            <w:tcBorders>
              <w:top w:val="single" w:sz="4" w:space="0" w:color="auto"/>
              <w:left w:val="nil"/>
              <w:bottom w:val="single" w:sz="4" w:space="0" w:color="auto"/>
              <w:right w:val="nil"/>
            </w:tcBorders>
            <w:shd w:val="clear" w:color="auto" w:fill="auto"/>
            <w:vAlign w:val="center"/>
          </w:tcPr>
          <w:p w14:paraId="4A0C1F4A" w14:textId="4E9D675C"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7</w:t>
            </w:r>
          </w:p>
        </w:tc>
        <w:tc>
          <w:tcPr>
            <w:tcW w:w="1168" w:type="dxa"/>
            <w:tcBorders>
              <w:top w:val="single" w:sz="4" w:space="0" w:color="auto"/>
              <w:left w:val="nil"/>
              <w:bottom w:val="single" w:sz="4" w:space="0" w:color="auto"/>
              <w:right w:val="nil"/>
            </w:tcBorders>
            <w:shd w:val="clear" w:color="auto" w:fill="auto"/>
            <w:vAlign w:val="center"/>
          </w:tcPr>
          <w:p w14:paraId="4E19257C"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-92%</w:t>
            </w:r>
          </w:p>
        </w:tc>
        <w:tc>
          <w:tcPr>
            <w:tcW w:w="4987" w:type="dxa"/>
            <w:tcBorders>
              <w:top w:val="single" w:sz="4" w:space="0" w:color="auto"/>
              <w:left w:val="nil"/>
              <w:bottom w:val="single" w:sz="4" w:space="0" w:color="auto"/>
              <w:right w:val="single" w:sz="4" w:space="0" w:color="auto"/>
            </w:tcBorders>
            <w:shd w:val="clear" w:color="auto" w:fill="auto"/>
            <w:vAlign w:val="center"/>
          </w:tcPr>
          <w:p w14:paraId="35BFEA74"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SO</w:t>
            </w:r>
            <w:r w:rsidRPr="00DF6D6F">
              <w:rPr>
                <w:rFonts w:asciiTheme="majorHAnsi" w:hAnsiTheme="majorHAnsi" w:cstheme="majorHAnsi"/>
                <w:sz w:val="18"/>
                <w:szCs w:val="18"/>
                <w:vertAlign w:val="subscript"/>
              </w:rPr>
              <w:t>2</w:t>
            </w:r>
            <w:r w:rsidRPr="00DF6D6F">
              <w:rPr>
                <w:rFonts w:asciiTheme="majorHAnsi" w:hAnsiTheme="majorHAnsi" w:cstheme="majorHAnsi"/>
                <w:sz w:val="18"/>
                <w:szCs w:val="18"/>
              </w:rPr>
              <w:t xml:space="preserve"> emissions in 2022 were higher due to a scheduled increase of coal consumption.</w:t>
            </w:r>
          </w:p>
        </w:tc>
      </w:tr>
      <w:tr w:rsidR="00DF6D6F" w:rsidRPr="008B7C72" w14:paraId="54EA9DCF" w14:textId="77777777" w:rsidTr="5A056A28">
        <w:trPr>
          <w:cantSplit/>
        </w:trPr>
        <w:tc>
          <w:tcPr>
            <w:tcW w:w="666" w:type="dxa"/>
            <w:tcBorders>
              <w:top w:val="single" w:sz="4" w:space="0" w:color="auto"/>
              <w:left w:val="single" w:sz="4" w:space="0" w:color="auto"/>
              <w:bottom w:val="single" w:sz="4" w:space="0" w:color="auto"/>
              <w:right w:val="nil"/>
            </w:tcBorders>
            <w:shd w:val="clear" w:color="auto" w:fill="auto"/>
            <w:vAlign w:val="center"/>
          </w:tcPr>
          <w:p w14:paraId="67EB3FB0"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WY</w:t>
            </w:r>
          </w:p>
        </w:tc>
        <w:tc>
          <w:tcPr>
            <w:tcW w:w="846" w:type="dxa"/>
            <w:tcBorders>
              <w:top w:val="single" w:sz="4" w:space="0" w:color="auto"/>
              <w:left w:val="nil"/>
              <w:bottom w:val="single" w:sz="4" w:space="0" w:color="auto"/>
              <w:right w:val="nil"/>
            </w:tcBorders>
            <w:shd w:val="clear" w:color="auto" w:fill="auto"/>
            <w:vAlign w:val="center"/>
          </w:tcPr>
          <w:p w14:paraId="46F71FA0"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56043</w:t>
            </w:r>
          </w:p>
        </w:tc>
        <w:tc>
          <w:tcPr>
            <w:tcW w:w="1179" w:type="dxa"/>
            <w:tcBorders>
              <w:top w:val="single" w:sz="4" w:space="0" w:color="auto"/>
              <w:left w:val="nil"/>
              <w:bottom w:val="single" w:sz="4" w:space="0" w:color="auto"/>
              <w:right w:val="nil"/>
            </w:tcBorders>
            <w:shd w:val="clear" w:color="auto" w:fill="auto"/>
            <w:vAlign w:val="center"/>
          </w:tcPr>
          <w:p w14:paraId="11850B0E" w14:textId="77777777" w:rsidR="00DF6D6F" w:rsidRPr="00DF6D6F" w:rsidRDefault="00DF6D6F" w:rsidP="00DF6D6F">
            <w:pPr>
              <w:spacing w:line="240" w:lineRule="auto"/>
              <w:jc w:val="center"/>
              <w:rPr>
                <w:rFonts w:asciiTheme="majorHAnsi" w:hAnsiTheme="majorHAnsi" w:cstheme="majorHAnsi"/>
                <w:sz w:val="18"/>
                <w:szCs w:val="18"/>
              </w:rPr>
            </w:pPr>
            <w:proofErr w:type="spellStart"/>
            <w:r w:rsidRPr="00DF6D6F">
              <w:rPr>
                <w:rFonts w:asciiTheme="majorHAnsi" w:hAnsiTheme="majorHAnsi" w:cstheme="majorHAnsi"/>
                <w:sz w:val="18"/>
                <w:szCs w:val="18"/>
              </w:rPr>
              <w:t>F026405</w:t>
            </w:r>
            <w:proofErr w:type="spellEnd"/>
          </w:p>
        </w:tc>
        <w:tc>
          <w:tcPr>
            <w:tcW w:w="3167" w:type="dxa"/>
            <w:tcBorders>
              <w:top w:val="single" w:sz="4" w:space="0" w:color="auto"/>
              <w:left w:val="nil"/>
              <w:bottom w:val="single" w:sz="4" w:space="0" w:color="auto"/>
              <w:right w:val="nil"/>
            </w:tcBorders>
            <w:shd w:val="clear" w:color="auto" w:fill="auto"/>
            <w:vAlign w:val="center"/>
          </w:tcPr>
          <w:p w14:paraId="3805C7F7"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Contango Resources, LLC -- Worland Gas Plant (WMS)</w:t>
            </w:r>
          </w:p>
        </w:tc>
        <w:tc>
          <w:tcPr>
            <w:tcW w:w="1214" w:type="dxa"/>
            <w:tcBorders>
              <w:top w:val="single" w:sz="4" w:space="0" w:color="auto"/>
              <w:left w:val="nil"/>
              <w:bottom w:val="single" w:sz="4" w:space="0" w:color="auto"/>
              <w:right w:val="nil"/>
            </w:tcBorders>
            <w:shd w:val="clear" w:color="auto" w:fill="auto"/>
            <w:vAlign w:val="center"/>
          </w:tcPr>
          <w:p w14:paraId="50D52B31" w14:textId="07931BC0"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34</w:t>
            </w:r>
          </w:p>
        </w:tc>
        <w:tc>
          <w:tcPr>
            <w:tcW w:w="1078" w:type="dxa"/>
            <w:tcBorders>
              <w:top w:val="single" w:sz="4" w:space="0" w:color="auto"/>
              <w:left w:val="nil"/>
              <w:bottom w:val="single" w:sz="4" w:space="0" w:color="auto"/>
              <w:right w:val="nil"/>
            </w:tcBorders>
            <w:shd w:val="clear" w:color="auto" w:fill="auto"/>
            <w:vAlign w:val="center"/>
          </w:tcPr>
          <w:p w14:paraId="1CE6D630" w14:textId="319C5ABC"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42</w:t>
            </w:r>
          </w:p>
        </w:tc>
        <w:tc>
          <w:tcPr>
            <w:tcW w:w="1168" w:type="dxa"/>
            <w:tcBorders>
              <w:top w:val="single" w:sz="4" w:space="0" w:color="auto"/>
              <w:left w:val="nil"/>
              <w:bottom w:val="single" w:sz="4" w:space="0" w:color="auto"/>
              <w:right w:val="nil"/>
            </w:tcBorders>
            <w:shd w:val="clear" w:color="auto" w:fill="auto"/>
            <w:vAlign w:val="center"/>
          </w:tcPr>
          <w:p w14:paraId="5EB3ABAE" w14:textId="77777777" w:rsidR="00DF6D6F" w:rsidRPr="00DF6D6F" w:rsidRDefault="00DF6D6F" w:rsidP="00DF6D6F">
            <w:pPr>
              <w:spacing w:line="240" w:lineRule="auto"/>
              <w:jc w:val="center"/>
              <w:rPr>
                <w:rFonts w:asciiTheme="majorHAnsi" w:hAnsiTheme="majorHAnsi" w:cstheme="majorHAnsi"/>
                <w:sz w:val="18"/>
                <w:szCs w:val="18"/>
              </w:rPr>
            </w:pPr>
            <w:r w:rsidRPr="00DF6D6F">
              <w:rPr>
                <w:rFonts w:asciiTheme="majorHAnsi" w:hAnsiTheme="majorHAnsi" w:cstheme="majorHAnsi"/>
                <w:sz w:val="18"/>
                <w:szCs w:val="18"/>
              </w:rPr>
              <w:t>23%</w:t>
            </w:r>
          </w:p>
        </w:tc>
        <w:tc>
          <w:tcPr>
            <w:tcW w:w="4987" w:type="dxa"/>
            <w:tcBorders>
              <w:top w:val="single" w:sz="4" w:space="0" w:color="auto"/>
              <w:left w:val="nil"/>
              <w:bottom w:val="single" w:sz="4" w:space="0" w:color="auto"/>
              <w:right w:val="single" w:sz="4" w:space="0" w:color="auto"/>
            </w:tcBorders>
            <w:shd w:val="clear" w:color="auto" w:fill="auto"/>
            <w:vAlign w:val="center"/>
          </w:tcPr>
          <w:p w14:paraId="2DCE0D8D" w14:textId="77777777" w:rsidR="00DF6D6F" w:rsidRPr="00DF6D6F" w:rsidRDefault="00DF6D6F" w:rsidP="00DF6D6F">
            <w:pPr>
              <w:spacing w:line="240" w:lineRule="auto"/>
              <w:rPr>
                <w:rFonts w:asciiTheme="majorHAnsi" w:hAnsiTheme="majorHAnsi" w:cstheme="majorHAnsi"/>
                <w:sz w:val="18"/>
                <w:szCs w:val="18"/>
              </w:rPr>
            </w:pPr>
            <w:r w:rsidRPr="00DF6D6F">
              <w:rPr>
                <w:rFonts w:asciiTheme="majorHAnsi" w:hAnsiTheme="majorHAnsi" w:cstheme="majorHAnsi"/>
                <w:sz w:val="18"/>
                <w:szCs w:val="18"/>
              </w:rPr>
              <w:t>In 2022, there were more engine maintenance activities required. Furthermore, there was a frozen discharge line that required pigging. In 2022, there were multiple maintenance and parts replacements for Units 1 and 2 throughout the year. Furthermore, the plant was shut down and needed multiple attempts to be started back up.</w:t>
            </w:r>
          </w:p>
        </w:tc>
      </w:tr>
    </w:tbl>
    <w:p w14:paraId="15092BBD" w14:textId="10B621A0" w:rsidR="007471FD" w:rsidRDefault="007471FD" w:rsidP="007471FD">
      <w:pPr>
        <w:rPr>
          <w:rStyle w:val="WP9Hyperlink"/>
          <w:color w:val="000000"/>
          <w:u w:val="none"/>
        </w:rPr>
      </w:pPr>
    </w:p>
    <w:p w14:paraId="3634C01B" w14:textId="77777777" w:rsidR="00381CDD" w:rsidRPr="005F018D" w:rsidRDefault="00381CDD" w:rsidP="007471FD">
      <w:pPr>
        <w:rPr>
          <w:rStyle w:val="WP9Hyperlink"/>
          <w:color w:val="000000"/>
          <w:u w:val="none"/>
        </w:rPr>
      </w:pPr>
    </w:p>
    <w:p w14:paraId="1BDFB4E0" w14:textId="77777777" w:rsidR="007471FD" w:rsidRPr="005F018D" w:rsidRDefault="007471FD">
      <w:pPr>
        <w:keepNext/>
        <w:ind w:left="360"/>
        <w:outlineLvl w:val="0"/>
        <w:rPr>
          <w:rStyle w:val="WP9Hyperlink"/>
          <w:b/>
          <w:bCs/>
          <w:color w:val="auto"/>
          <w:u w:val="none"/>
        </w:rPr>
        <w:sectPr w:rsidR="007471FD" w:rsidRPr="005F018D" w:rsidSect="00CD1084">
          <w:footnotePr>
            <w:numFmt w:val="lowerLetter"/>
          </w:footnotePr>
          <w:endnotePr>
            <w:numFmt w:val="lowerLetter"/>
          </w:endnotePr>
          <w:pgSz w:w="15840" w:h="12240" w:orient="landscape" w:code="1"/>
          <w:pgMar w:top="1440" w:right="720" w:bottom="1440" w:left="720" w:header="720" w:footer="720" w:gutter="0"/>
          <w:cols w:space="720"/>
          <w:docGrid w:linePitch="326"/>
        </w:sectPr>
      </w:pPr>
    </w:p>
    <w:p w14:paraId="702AA63A" w14:textId="77777777" w:rsidR="0099781D" w:rsidRPr="005F018D" w:rsidRDefault="0042020A" w:rsidP="00C90E4A">
      <w:pPr>
        <w:pStyle w:val="Heading2"/>
        <w:ind w:firstLine="720"/>
        <w:rPr>
          <w:rStyle w:val="WP9Hyperlink"/>
          <w:b w:val="0"/>
          <w:bCs w:val="0"/>
          <w:color w:val="auto"/>
          <w:u w:val="none"/>
        </w:rPr>
      </w:pPr>
      <w:r w:rsidRPr="005F018D">
        <w:rPr>
          <w:rStyle w:val="WP9Hyperlink"/>
          <w:b w:val="0"/>
          <w:bCs w:val="0"/>
          <w:color w:val="auto"/>
          <w:u w:val="none"/>
        </w:rPr>
        <w:lastRenderedPageBreak/>
        <w:t>6</w:t>
      </w:r>
      <w:r w:rsidR="0099781D" w:rsidRPr="005F018D">
        <w:rPr>
          <w:rStyle w:val="WP9Hyperlink"/>
          <w:b w:val="0"/>
          <w:bCs w:val="0"/>
          <w:color w:val="auto"/>
          <w:u w:val="none"/>
        </w:rPr>
        <w:t>.2</w:t>
      </w:r>
      <w:r w:rsidR="005142EC">
        <w:rPr>
          <w:rStyle w:val="WP9Hyperlink"/>
          <w:b w:val="0"/>
          <w:bCs w:val="0"/>
          <w:color w:val="auto"/>
          <w:u w:val="none"/>
        </w:rPr>
        <w:tab/>
      </w:r>
      <w:r w:rsidR="0099781D" w:rsidRPr="005F018D">
        <w:rPr>
          <w:rStyle w:val="WP9Hyperlink"/>
          <w:b w:val="0"/>
          <w:bCs w:val="0"/>
          <w:color w:val="auto"/>
          <w:u w:val="none"/>
        </w:rPr>
        <w:t>Part 75 Data</w:t>
      </w:r>
    </w:p>
    <w:p w14:paraId="2F37E965" w14:textId="77777777" w:rsidR="0099781D" w:rsidRPr="00CC6F12" w:rsidRDefault="0099781D" w:rsidP="00BB5AF4">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C6F12">
        <w:rPr>
          <w:rStyle w:val="WP9Hyperlink"/>
          <w:rFonts w:asciiTheme="minorHAnsi" w:hAnsiTheme="minorHAnsi"/>
          <w:color w:val="000000"/>
          <w:u w:val="none"/>
        </w:rPr>
        <w:t>Federal Acid Rain Program emissions monitoring data (required by 40 CFR Part 75) were used to check reported power plant emissions.</w:t>
      </w:r>
    </w:p>
    <w:p w14:paraId="0F0197F1" w14:textId="434E207B" w:rsidR="0099781D" w:rsidRDefault="0099781D" w:rsidP="00BB5AF4">
      <w:pPr>
        <w:spacing w:after="200"/>
        <w:rPr>
          <w:rStyle w:val="WP9Hyperlink"/>
          <w:rFonts w:asciiTheme="minorHAnsi" w:hAnsiTheme="minorHAnsi"/>
          <w:color w:val="000000"/>
          <w:u w:val="none"/>
        </w:rPr>
      </w:pPr>
      <w:r w:rsidRPr="00CC6F12">
        <w:rPr>
          <w:rStyle w:val="WP9Hyperlink"/>
          <w:rFonts w:asciiTheme="minorHAnsi" w:hAnsiTheme="minorHAnsi"/>
          <w:color w:val="000000"/>
          <w:u w:val="none"/>
        </w:rPr>
        <w:tab/>
      </w:r>
      <w:r w:rsidRPr="0028447D">
        <w:rPr>
          <w:rStyle w:val="WP9Hyperlink"/>
          <w:rFonts w:asciiTheme="minorHAnsi" w:hAnsiTheme="minorHAnsi"/>
          <w:color w:val="000000"/>
          <w:u w:val="none"/>
        </w:rPr>
        <w:t xml:space="preserve">Sources in the region subject to Part 75 emitted </w:t>
      </w:r>
      <w:r w:rsidR="0067010E">
        <w:rPr>
          <w:rStyle w:val="WP9Hyperlink"/>
          <w:rFonts w:asciiTheme="minorHAnsi" w:hAnsiTheme="minorHAnsi"/>
          <w:color w:val="000000"/>
          <w:u w:val="none"/>
        </w:rPr>
        <w:t>67%</w:t>
      </w:r>
      <w:r w:rsidRPr="0028447D">
        <w:rPr>
          <w:rStyle w:val="WP9Hyperlink"/>
          <w:rFonts w:asciiTheme="minorHAnsi" w:hAnsiTheme="minorHAnsi"/>
          <w:color w:val="000000"/>
          <w:u w:val="none"/>
        </w:rPr>
        <w:t xml:space="preserve"> of the region's reported emissions in </w:t>
      </w:r>
      <w:r w:rsidR="00B76BF4">
        <w:rPr>
          <w:rStyle w:val="WP9Hyperlink"/>
          <w:rFonts w:asciiTheme="minorHAnsi" w:hAnsiTheme="minorHAnsi"/>
          <w:color w:val="000000"/>
          <w:u w:val="none"/>
        </w:rPr>
        <w:t>202</w:t>
      </w:r>
      <w:r w:rsidR="00257554">
        <w:rPr>
          <w:rStyle w:val="WP9Hyperlink"/>
          <w:rFonts w:asciiTheme="minorHAnsi" w:hAnsiTheme="minorHAnsi"/>
          <w:color w:val="000000"/>
          <w:u w:val="none"/>
        </w:rPr>
        <w:t>3</w:t>
      </w:r>
      <w:r w:rsidRPr="0028447D">
        <w:rPr>
          <w:rStyle w:val="WP9Hyperlink"/>
          <w:rFonts w:asciiTheme="minorHAnsi" w:hAnsiTheme="minorHAnsi"/>
          <w:color w:val="000000"/>
          <w:u w:val="none"/>
        </w:rPr>
        <w:t>.</w:t>
      </w:r>
      <w:r w:rsidR="00BB5AF4" w:rsidRPr="0028447D">
        <w:rPr>
          <w:rStyle w:val="WP9Hyperlink"/>
          <w:rFonts w:asciiTheme="minorHAnsi" w:hAnsiTheme="minorHAnsi"/>
          <w:color w:val="000000"/>
          <w:u w:val="none"/>
        </w:rPr>
        <w:t xml:space="preserve"> </w:t>
      </w:r>
      <w:r w:rsidRPr="0028447D">
        <w:rPr>
          <w:rStyle w:val="WP9Hyperlink"/>
          <w:rFonts w:asciiTheme="minorHAnsi" w:hAnsiTheme="minorHAnsi"/>
          <w:color w:val="000000"/>
          <w:u w:val="none"/>
        </w:rPr>
        <w:t xml:space="preserve">We compared </w:t>
      </w:r>
      <w:proofErr w:type="gramStart"/>
      <w:r w:rsidRPr="0028447D">
        <w:rPr>
          <w:rStyle w:val="WP9Hyperlink"/>
          <w:rFonts w:asciiTheme="minorHAnsi" w:hAnsiTheme="minorHAnsi"/>
          <w:color w:val="000000"/>
          <w:u w:val="none"/>
        </w:rPr>
        <w:t>Acid</w:t>
      </w:r>
      <w:proofErr w:type="gramEnd"/>
      <w:r w:rsidRPr="0028447D">
        <w:rPr>
          <w:rStyle w:val="WP9Hyperlink"/>
          <w:rFonts w:asciiTheme="minorHAnsi" w:hAnsiTheme="minorHAnsi"/>
          <w:color w:val="000000"/>
          <w:u w:val="none"/>
        </w:rPr>
        <w:t xml:space="preserve"> Rain Program power plant emission data from EPA's </w:t>
      </w:r>
      <w:r w:rsidR="00C136F6">
        <w:rPr>
          <w:rStyle w:val="WP9Hyperlink"/>
          <w:rFonts w:asciiTheme="minorHAnsi" w:hAnsiTheme="minorHAnsi"/>
          <w:color w:val="000000"/>
          <w:u w:val="none"/>
        </w:rPr>
        <w:t xml:space="preserve">Clean Air Markets Program Data </w:t>
      </w:r>
      <w:r w:rsidRPr="00CC6F12">
        <w:rPr>
          <w:rStyle w:val="WP9Hyperlink"/>
          <w:rFonts w:asciiTheme="minorHAnsi" w:hAnsiTheme="minorHAnsi"/>
          <w:color w:val="000000"/>
          <w:u w:val="none"/>
        </w:rPr>
        <w:t>website to plant totals reported by each state.</w:t>
      </w:r>
      <w:r w:rsidR="00BB5AF4" w:rsidRPr="00CC6F12">
        <w:rPr>
          <w:rStyle w:val="WP9Hyperlink"/>
          <w:rFonts w:asciiTheme="minorHAnsi" w:hAnsiTheme="minorHAnsi"/>
          <w:color w:val="000000"/>
          <w:u w:val="none"/>
        </w:rPr>
        <w:t xml:space="preserve"> </w:t>
      </w:r>
      <w:r w:rsidRPr="00CC6F12">
        <w:rPr>
          <w:rStyle w:val="WP9Hyperlink"/>
          <w:rFonts w:asciiTheme="minorHAnsi" w:hAnsiTheme="minorHAnsi"/>
          <w:color w:val="000000"/>
          <w:u w:val="none"/>
        </w:rPr>
        <w:t>The SIPs require the use of Part 75 methods for Part 75 sources.</w:t>
      </w:r>
      <w:r w:rsidR="00BB5AF4" w:rsidRPr="00CC6F12">
        <w:rPr>
          <w:rStyle w:val="WP9Hyperlink"/>
          <w:rFonts w:asciiTheme="minorHAnsi" w:hAnsiTheme="minorHAnsi"/>
          <w:color w:val="000000"/>
          <w:u w:val="none"/>
        </w:rPr>
        <w:t xml:space="preserve"> </w:t>
      </w:r>
      <w:r w:rsidRPr="002E2CD1">
        <w:rPr>
          <w:rStyle w:val="WP9Hyperlink"/>
          <w:rFonts w:asciiTheme="minorHAnsi" w:hAnsiTheme="minorHAnsi"/>
          <w:color w:val="000000"/>
          <w:u w:val="none"/>
        </w:rPr>
        <w:t xml:space="preserve">The reported emissions matched EPA's emission </w:t>
      </w:r>
      <w:r w:rsidRPr="00077D01">
        <w:rPr>
          <w:rStyle w:val="WP9Hyperlink"/>
          <w:rFonts w:asciiTheme="minorHAnsi" w:hAnsiTheme="minorHAnsi"/>
          <w:color w:val="000000"/>
          <w:u w:val="none"/>
        </w:rPr>
        <w:t>data</w:t>
      </w:r>
      <w:r w:rsidR="00F44B92" w:rsidRPr="00077D01">
        <w:rPr>
          <w:rStyle w:val="WP9Hyperlink"/>
          <w:rFonts w:asciiTheme="minorHAnsi" w:hAnsiTheme="minorHAnsi"/>
          <w:color w:val="000000"/>
          <w:u w:val="none"/>
        </w:rPr>
        <w:t xml:space="preserve"> </w:t>
      </w:r>
      <w:r w:rsidR="007C6685" w:rsidRPr="00077D01">
        <w:rPr>
          <w:rStyle w:val="WP9Hyperlink"/>
          <w:rFonts w:asciiTheme="minorHAnsi" w:hAnsiTheme="minorHAnsi"/>
          <w:color w:val="000000"/>
          <w:u w:val="none"/>
        </w:rPr>
        <w:t>except for</w:t>
      </w:r>
      <w:r w:rsidR="00F44B92" w:rsidRPr="00077D01">
        <w:rPr>
          <w:rStyle w:val="WP9Hyperlink"/>
          <w:rFonts w:asciiTheme="minorHAnsi" w:hAnsiTheme="minorHAnsi"/>
          <w:color w:val="000000"/>
          <w:u w:val="none"/>
        </w:rPr>
        <w:t xml:space="preserve"> </w:t>
      </w:r>
      <w:r w:rsidR="00F611C5" w:rsidRPr="00E01171">
        <w:rPr>
          <w:rStyle w:val="WP9Hyperlink"/>
          <w:rFonts w:asciiTheme="minorHAnsi" w:hAnsiTheme="minorHAnsi"/>
          <w:color w:val="000000"/>
          <w:u w:val="none"/>
        </w:rPr>
        <w:t>three</w:t>
      </w:r>
      <w:r w:rsidR="007C6685" w:rsidRPr="00E01171">
        <w:rPr>
          <w:rStyle w:val="WP9Hyperlink"/>
          <w:rFonts w:asciiTheme="minorHAnsi" w:hAnsiTheme="minorHAnsi"/>
          <w:color w:val="000000"/>
          <w:u w:val="none"/>
        </w:rPr>
        <w:t xml:space="preserve"> source</w:t>
      </w:r>
      <w:r w:rsidR="00F611C5" w:rsidRPr="00E01171">
        <w:rPr>
          <w:rStyle w:val="WP9Hyperlink"/>
          <w:rFonts w:asciiTheme="minorHAnsi" w:hAnsiTheme="minorHAnsi"/>
          <w:color w:val="000000"/>
          <w:u w:val="none"/>
        </w:rPr>
        <w:t>s</w:t>
      </w:r>
      <w:r w:rsidRPr="00E01171">
        <w:rPr>
          <w:rStyle w:val="WP9Hyperlink"/>
          <w:rFonts w:asciiTheme="minorHAnsi" w:hAnsiTheme="minorHAnsi"/>
          <w:color w:val="000000"/>
          <w:u w:val="none"/>
        </w:rPr>
        <w:t>.</w:t>
      </w:r>
      <w:r w:rsidR="00F44B92" w:rsidRPr="00077D01">
        <w:rPr>
          <w:rStyle w:val="WP9Hyperlink"/>
          <w:rFonts w:asciiTheme="minorHAnsi" w:hAnsiTheme="minorHAnsi"/>
          <w:color w:val="000000"/>
          <w:u w:val="none"/>
        </w:rPr>
        <w:t xml:space="preserve"> The source</w:t>
      </w:r>
      <w:r w:rsidR="00F611C5">
        <w:rPr>
          <w:rStyle w:val="WP9Hyperlink"/>
          <w:rFonts w:asciiTheme="minorHAnsi" w:hAnsiTheme="minorHAnsi"/>
          <w:color w:val="000000"/>
          <w:u w:val="none"/>
        </w:rPr>
        <w:t>s</w:t>
      </w:r>
      <w:r w:rsidR="00F44B92" w:rsidRPr="00077D01">
        <w:rPr>
          <w:rStyle w:val="WP9Hyperlink"/>
          <w:rFonts w:asciiTheme="minorHAnsi" w:hAnsiTheme="minorHAnsi"/>
          <w:color w:val="000000"/>
          <w:u w:val="none"/>
        </w:rPr>
        <w:t xml:space="preserve"> whose reported emissions did not match EPA’s data </w:t>
      </w:r>
      <w:r w:rsidR="00F611C5">
        <w:rPr>
          <w:rStyle w:val="WP9Hyperlink"/>
          <w:rFonts w:asciiTheme="minorHAnsi" w:hAnsiTheme="minorHAnsi"/>
          <w:color w:val="000000"/>
          <w:u w:val="none"/>
        </w:rPr>
        <w:t>are</w:t>
      </w:r>
      <w:r w:rsidR="00F44B92" w:rsidRPr="00077D01">
        <w:rPr>
          <w:rStyle w:val="WP9Hyperlink"/>
          <w:rFonts w:asciiTheme="minorHAnsi" w:hAnsiTheme="minorHAnsi"/>
          <w:color w:val="000000"/>
          <w:u w:val="none"/>
        </w:rPr>
        <w:t xml:space="preserve"> in Table </w:t>
      </w:r>
      <w:r w:rsidR="007A0D2F">
        <w:rPr>
          <w:rStyle w:val="WP9Hyperlink"/>
          <w:rFonts w:asciiTheme="minorHAnsi" w:hAnsiTheme="minorHAnsi"/>
          <w:color w:val="000000"/>
          <w:u w:val="none"/>
        </w:rPr>
        <w:t>4</w:t>
      </w:r>
      <w:r w:rsidR="00F44B92" w:rsidRPr="00077D01">
        <w:rPr>
          <w:rStyle w:val="WP9Hyperlink"/>
          <w:rFonts w:asciiTheme="minorHAnsi" w:hAnsiTheme="minorHAnsi"/>
          <w:color w:val="000000"/>
          <w:u w:val="none"/>
        </w:rPr>
        <w:t>.</w:t>
      </w:r>
      <w:r w:rsidR="00F611C5">
        <w:rPr>
          <w:rStyle w:val="WP9Hyperlink"/>
          <w:rFonts w:asciiTheme="minorHAnsi" w:hAnsiTheme="minorHAnsi"/>
          <w:color w:val="000000"/>
          <w:u w:val="none"/>
        </w:rPr>
        <w:t xml:space="preserve"> The difference between the Acid Rain Program data and reported emissions for this report for sources in </w:t>
      </w:r>
      <w:r w:rsidR="00F611C5" w:rsidRPr="00E01171">
        <w:rPr>
          <w:rStyle w:val="WP9Hyperlink"/>
          <w:rFonts w:asciiTheme="minorHAnsi" w:hAnsiTheme="minorHAnsi"/>
          <w:color w:val="000000"/>
          <w:u w:val="none"/>
        </w:rPr>
        <w:t>Wyoming is due to emissions factors required by Wyoming Air Quality Standards and Regulations Chapter 14 Section 3 (d).</w:t>
      </w:r>
    </w:p>
    <w:p w14:paraId="5DB798BB" w14:textId="5A263864" w:rsidR="00077D01" w:rsidRPr="00077D01" w:rsidRDefault="002E2CD1" w:rsidP="00077D01">
      <w:pPr>
        <w:pStyle w:val="Caption"/>
        <w:keepNext/>
        <w:rPr>
          <w:noProof/>
        </w:rPr>
      </w:pPr>
      <w:r w:rsidRPr="00504F3E">
        <w:t xml:space="preserve">Table </w:t>
      </w:r>
      <w:r>
        <w:fldChar w:fldCharType="begin"/>
      </w:r>
      <w:r>
        <w:instrText>SEQ Table \* ARABIC</w:instrText>
      </w:r>
      <w:r>
        <w:fldChar w:fldCharType="separate"/>
      </w:r>
      <w:r w:rsidR="007A0D2F" w:rsidRPr="00504F3E">
        <w:rPr>
          <w:noProof/>
        </w:rPr>
        <w:t>4</w:t>
      </w:r>
      <w:r>
        <w:fldChar w:fldCharType="end"/>
      </w:r>
      <w:r w:rsidRPr="00504F3E">
        <w:t>. Reported facility emissions that do not</w:t>
      </w:r>
      <w:r w:rsidRPr="00504F3E">
        <w:rPr>
          <w:noProof/>
        </w:rPr>
        <w:t xml:space="preserve"> match information in the Acid Rain Database</w:t>
      </w:r>
    </w:p>
    <w:tbl>
      <w:tblPr>
        <w:tblW w:w="917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748"/>
        <w:gridCol w:w="3387"/>
        <w:gridCol w:w="1170"/>
        <w:gridCol w:w="810"/>
        <w:gridCol w:w="1530"/>
        <w:gridCol w:w="1530"/>
      </w:tblGrid>
      <w:tr w:rsidR="00073196" w:rsidRPr="0017154F" w14:paraId="3C421FCE" w14:textId="77777777" w:rsidTr="008C3189">
        <w:trPr>
          <w:trHeight w:val="1008"/>
        </w:trPr>
        <w:tc>
          <w:tcPr>
            <w:tcW w:w="748" w:type="dxa"/>
            <w:shd w:val="clear" w:color="auto" w:fill="E5E2E7" w:themeFill="accent6" w:themeFillTint="33"/>
            <w:noWrap/>
            <w:vAlign w:val="bottom"/>
            <w:hideMark/>
          </w:tcPr>
          <w:p w14:paraId="1EA3539C" w14:textId="77777777" w:rsidR="0017154F" w:rsidRPr="0017154F" w:rsidRDefault="0017154F" w:rsidP="0017154F">
            <w:pPr>
              <w:spacing w:line="240" w:lineRule="auto"/>
              <w:rPr>
                <w:rFonts w:asciiTheme="majorHAnsi" w:hAnsiTheme="majorHAnsi" w:cs="Arial"/>
                <w:b/>
                <w:bCs/>
                <w:sz w:val="18"/>
                <w:szCs w:val="18"/>
              </w:rPr>
            </w:pPr>
            <w:r w:rsidRPr="0017154F">
              <w:rPr>
                <w:rFonts w:asciiTheme="majorHAnsi" w:hAnsiTheme="majorHAnsi" w:cs="Arial"/>
                <w:b/>
                <w:bCs/>
                <w:sz w:val="18"/>
                <w:szCs w:val="18"/>
              </w:rPr>
              <w:t>State</w:t>
            </w:r>
          </w:p>
        </w:tc>
        <w:tc>
          <w:tcPr>
            <w:tcW w:w="3387" w:type="dxa"/>
            <w:shd w:val="clear" w:color="auto" w:fill="E5E2E7" w:themeFill="accent6" w:themeFillTint="33"/>
            <w:vAlign w:val="bottom"/>
            <w:hideMark/>
          </w:tcPr>
          <w:p w14:paraId="7ACB5871" w14:textId="77777777" w:rsidR="0017154F" w:rsidRPr="0017154F" w:rsidRDefault="0017154F" w:rsidP="00073196">
            <w:pPr>
              <w:spacing w:line="240" w:lineRule="auto"/>
              <w:rPr>
                <w:rFonts w:asciiTheme="majorHAnsi" w:hAnsiTheme="majorHAnsi" w:cs="Arial"/>
                <w:b/>
                <w:bCs/>
                <w:sz w:val="18"/>
                <w:szCs w:val="18"/>
              </w:rPr>
            </w:pPr>
            <w:r w:rsidRPr="0017154F">
              <w:rPr>
                <w:rFonts w:asciiTheme="majorHAnsi" w:hAnsiTheme="majorHAnsi" w:cs="Arial"/>
                <w:b/>
                <w:bCs/>
                <w:sz w:val="18"/>
                <w:szCs w:val="18"/>
              </w:rPr>
              <w:t xml:space="preserve"> Facility Name</w:t>
            </w:r>
          </w:p>
        </w:tc>
        <w:tc>
          <w:tcPr>
            <w:tcW w:w="1170" w:type="dxa"/>
            <w:shd w:val="clear" w:color="auto" w:fill="E5E2E7" w:themeFill="accent6" w:themeFillTint="33"/>
            <w:vAlign w:val="bottom"/>
            <w:hideMark/>
          </w:tcPr>
          <w:p w14:paraId="660CDFE8" w14:textId="77777777" w:rsidR="0017154F" w:rsidRPr="0017154F" w:rsidRDefault="0017154F" w:rsidP="00073196">
            <w:pPr>
              <w:spacing w:line="240" w:lineRule="auto"/>
              <w:rPr>
                <w:rFonts w:asciiTheme="majorHAnsi" w:hAnsiTheme="majorHAnsi" w:cs="Arial"/>
                <w:b/>
                <w:bCs/>
                <w:sz w:val="18"/>
                <w:szCs w:val="18"/>
              </w:rPr>
            </w:pPr>
            <w:r w:rsidRPr="0017154F">
              <w:rPr>
                <w:rFonts w:asciiTheme="majorHAnsi" w:hAnsiTheme="majorHAnsi" w:cs="Arial"/>
                <w:b/>
                <w:bCs/>
                <w:sz w:val="18"/>
                <w:szCs w:val="18"/>
              </w:rPr>
              <w:t xml:space="preserve"> Facility ID (ORISPL)</w:t>
            </w:r>
          </w:p>
        </w:tc>
        <w:tc>
          <w:tcPr>
            <w:tcW w:w="810" w:type="dxa"/>
            <w:shd w:val="clear" w:color="auto" w:fill="E5E2E7" w:themeFill="accent6" w:themeFillTint="33"/>
            <w:vAlign w:val="bottom"/>
            <w:hideMark/>
          </w:tcPr>
          <w:p w14:paraId="16F6C709" w14:textId="77777777" w:rsidR="0017154F" w:rsidRPr="0017154F" w:rsidRDefault="0017154F" w:rsidP="00073196">
            <w:pPr>
              <w:spacing w:line="240" w:lineRule="auto"/>
              <w:rPr>
                <w:rFonts w:asciiTheme="majorHAnsi" w:hAnsiTheme="majorHAnsi" w:cs="Arial"/>
                <w:b/>
                <w:bCs/>
                <w:sz w:val="18"/>
                <w:szCs w:val="18"/>
              </w:rPr>
            </w:pPr>
            <w:r w:rsidRPr="0017154F">
              <w:rPr>
                <w:rFonts w:asciiTheme="majorHAnsi" w:hAnsiTheme="majorHAnsi" w:cs="Arial"/>
                <w:b/>
                <w:bCs/>
                <w:sz w:val="18"/>
                <w:szCs w:val="18"/>
              </w:rPr>
              <w:t xml:space="preserve"> Year</w:t>
            </w:r>
          </w:p>
        </w:tc>
        <w:tc>
          <w:tcPr>
            <w:tcW w:w="1530" w:type="dxa"/>
            <w:shd w:val="clear" w:color="auto" w:fill="E5E2E7" w:themeFill="accent6" w:themeFillTint="33"/>
            <w:vAlign w:val="bottom"/>
            <w:hideMark/>
          </w:tcPr>
          <w:p w14:paraId="143E727F" w14:textId="77777777" w:rsidR="0017154F" w:rsidRPr="0017154F" w:rsidRDefault="0017154F" w:rsidP="00073196">
            <w:pPr>
              <w:spacing w:line="240" w:lineRule="auto"/>
              <w:rPr>
                <w:rFonts w:asciiTheme="majorHAnsi" w:hAnsiTheme="majorHAnsi" w:cs="Arial"/>
                <w:b/>
                <w:bCs/>
                <w:sz w:val="18"/>
                <w:szCs w:val="18"/>
              </w:rPr>
            </w:pPr>
            <w:r w:rsidRPr="0017154F">
              <w:rPr>
                <w:rFonts w:asciiTheme="majorHAnsi" w:hAnsiTheme="majorHAnsi" w:cs="Arial"/>
                <w:b/>
                <w:bCs/>
                <w:sz w:val="18"/>
                <w:szCs w:val="18"/>
              </w:rPr>
              <w:t>2023 Acid Rain Database Emissions (tons SO2)</w:t>
            </w:r>
          </w:p>
        </w:tc>
        <w:tc>
          <w:tcPr>
            <w:tcW w:w="1530" w:type="dxa"/>
            <w:shd w:val="clear" w:color="auto" w:fill="E5E2E7" w:themeFill="accent6" w:themeFillTint="33"/>
            <w:vAlign w:val="bottom"/>
            <w:hideMark/>
          </w:tcPr>
          <w:p w14:paraId="3ABB3DE4" w14:textId="77777777" w:rsidR="0017154F" w:rsidRPr="0017154F" w:rsidRDefault="0017154F" w:rsidP="00073196">
            <w:pPr>
              <w:spacing w:line="240" w:lineRule="auto"/>
              <w:rPr>
                <w:rFonts w:asciiTheme="majorHAnsi" w:hAnsiTheme="majorHAnsi" w:cs="Arial"/>
                <w:b/>
                <w:bCs/>
                <w:sz w:val="18"/>
                <w:szCs w:val="18"/>
              </w:rPr>
            </w:pPr>
            <w:r w:rsidRPr="0017154F">
              <w:rPr>
                <w:rFonts w:asciiTheme="majorHAnsi" w:hAnsiTheme="majorHAnsi" w:cs="Arial"/>
                <w:b/>
                <w:bCs/>
                <w:sz w:val="18"/>
                <w:szCs w:val="18"/>
              </w:rPr>
              <w:t>2023 Reported Emissions (tons SO2)</w:t>
            </w:r>
          </w:p>
        </w:tc>
      </w:tr>
      <w:tr w:rsidR="00073196" w:rsidRPr="0017154F" w14:paraId="0E2E8E72" w14:textId="77777777" w:rsidTr="008C3189">
        <w:trPr>
          <w:trHeight w:val="432"/>
        </w:trPr>
        <w:tc>
          <w:tcPr>
            <w:tcW w:w="748" w:type="dxa"/>
            <w:shd w:val="clear" w:color="auto" w:fill="auto"/>
            <w:vAlign w:val="center"/>
            <w:hideMark/>
          </w:tcPr>
          <w:p w14:paraId="4FCB02B8" w14:textId="77777777" w:rsidR="0017154F" w:rsidRPr="0017154F" w:rsidRDefault="0017154F" w:rsidP="0017154F">
            <w:pPr>
              <w:spacing w:line="240" w:lineRule="auto"/>
              <w:jc w:val="center"/>
              <w:rPr>
                <w:rFonts w:asciiTheme="majorHAnsi" w:hAnsiTheme="majorHAnsi" w:cs="Arial"/>
                <w:sz w:val="18"/>
                <w:szCs w:val="18"/>
              </w:rPr>
            </w:pPr>
            <w:r w:rsidRPr="0017154F">
              <w:rPr>
                <w:rFonts w:asciiTheme="majorHAnsi" w:hAnsiTheme="majorHAnsi" w:cs="Arial"/>
                <w:sz w:val="18"/>
                <w:szCs w:val="18"/>
              </w:rPr>
              <w:t>WY</w:t>
            </w:r>
          </w:p>
        </w:tc>
        <w:tc>
          <w:tcPr>
            <w:tcW w:w="3387" w:type="dxa"/>
            <w:shd w:val="clear" w:color="auto" w:fill="auto"/>
            <w:vAlign w:val="center"/>
            <w:hideMark/>
          </w:tcPr>
          <w:p w14:paraId="3A34215D" w14:textId="77777777" w:rsidR="0017154F" w:rsidRPr="0017154F" w:rsidRDefault="0017154F" w:rsidP="00073196">
            <w:pPr>
              <w:spacing w:line="240" w:lineRule="auto"/>
              <w:rPr>
                <w:rFonts w:asciiTheme="majorHAnsi" w:hAnsiTheme="majorHAnsi" w:cs="Arial"/>
                <w:sz w:val="18"/>
                <w:szCs w:val="18"/>
              </w:rPr>
            </w:pPr>
            <w:proofErr w:type="spellStart"/>
            <w:r w:rsidRPr="0017154F">
              <w:rPr>
                <w:rFonts w:asciiTheme="majorHAnsi" w:hAnsiTheme="majorHAnsi" w:cs="Arial"/>
                <w:sz w:val="18"/>
                <w:szCs w:val="18"/>
              </w:rPr>
              <w:t>Pacificorp</w:t>
            </w:r>
            <w:proofErr w:type="spellEnd"/>
            <w:r w:rsidRPr="0017154F">
              <w:rPr>
                <w:rFonts w:asciiTheme="majorHAnsi" w:hAnsiTheme="majorHAnsi" w:cs="Arial"/>
                <w:sz w:val="18"/>
                <w:szCs w:val="18"/>
              </w:rPr>
              <w:t xml:space="preserve"> -- Naughton Plant</w:t>
            </w:r>
          </w:p>
        </w:tc>
        <w:tc>
          <w:tcPr>
            <w:tcW w:w="1170" w:type="dxa"/>
            <w:shd w:val="clear" w:color="auto" w:fill="auto"/>
            <w:vAlign w:val="center"/>
            <w:hideMark/>
          </w:tcPr>
          <w:p w14:paraId="7CF0C26D"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4162</w:t>
            </w:r>
          </w:p>
        </w:tc>
        <w:tc>
          <w:tcPr>
            <w:tcW w:w="810" w:type="dxa"/>
            <w:shd w:val="clear" w:color="auto" w:fill="auto"/>
            <w:vAlign w:val="center"/>
            <w:hideMark/>
          </w:tcPr>
          <w:p w14:paraId="3B5FC10A"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2023</w:t>
            </w:r>
          </w:p>
        </w:tc>
        <w:tc>
          <w:tcPr>
            <w:tcW w:w="1530" w:type="dxa"/>
            <w:shd w:val="clear" w:color="auto" w:fill="auto"/>
            <w:noWrap/>
            <w:vAlign w:val="center"/>
            <w:hideMark/>
          </w:tcPr>
          <w:p w14:paraId="637D76C5"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1437</w:t>
            </w:r>
          </w:p>
        </w:tc>
        <w:tc>
          <w:tcPr>
            <w:tcW w:w="1530" w:type="dxa"/>
            <w:shd w:val="clear" w:color="auto" w:fill="auto"/>
            <w:noWrap/>
            <w:vAlign w:val="center"/>
            <w:hideMark/>
          </w:tcPr>
          <w:p w14:paraId="5F42511C" w14:textId="501B174D"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1,439</w:t>
            </w:r>
          </w:p>
        </w:tc>
      </w:tr>
      <w:tr w:rsidR="00073196" w:rsidRPr="0017154F" w14:paraId="2161A18D" w14:textId="77777777" w:rsidTr="008C3189">
        <w:trPr>
          <w:trHeight w:val="432"/>
        </w:trPr>
        <w:tc>
          <w:tcPr>
            <w:tcW w:w="748" w:type="dxa"/>
            <w:shd w:val="clear" w:color="auto" w:fill="auto"/>
            <w:vAlign w:val="center"/>
            <w:hideMark/>
          </w:tcPr>
          <w:p w14:paraId="2B1B54C7" w14:textId="77777777" w:rsidR="0017154F" w:rsidRPr="0017154F" w:rsidRDefault="0017154F" w:rsidP="0017154F">
            <w:pPr>
              <w:spacing w:line="240" w:lineRule="auto"/>
              <w:jc w:val="center"/>
              <w:rPr>
                <w:rFonts w:asciiTheme="majorHAnsi" w:hAnsiTheme="majorHAnsi" w:cs="Arial"/>
                <w:sz w:val="18"/>
                <w:szCs w:val="18"/>
              </w:rPr>
            </w:pPr>
            <w:r w:rsidRPr="0017154F">
              <w:rPr>
                <w:rFonts w:asciiTheme="majorHAnsi" w:hAnsiTheme="majorHAnsi" w:cs="Arial"/>
                <w:sz w:val="18"/>
                <w:szCs w:val="18"/>
              </w:rPr>
              <w:t>WY</w:t>
            </w:r>
          </w:p>
        </w:tc>
        <w:tc>
          <w:tcPr>
            <w:tcW w:w="3387" w:type="dxa"/>
            <w:shd w:val="clear" w:color="auto" w:fill="auto"/>
            <w:vAlign w:val="center"/>
            <w:hideMark/>
          </w:tcPr>
          <w:p w14:paraId="529013F5" w14:textId="77777777" w:rsidR="0017154F" w:rsidRPr="0017154F" w:rsidRDefault="0017154F" w:rsidP="00073196">
            <w:pPr>
              <w:spacing w:line="240" w:lineRule="auto"/>
              <w:rPr>
                <w:rFonts w:asciiTheme="majorHAnsi" w:hAnsiTheme="majorHAnsi" w:cs="Arial"/>
                <w:sz w:val="18"/>
                <w:szCs w:val="18"/>
              </w:rPr>
            </w:pPr>
            <w:proofErr w:type="spellStart"/>
            <w:r w:rsidRPr="0017154F">
              <w:rPr>
                <w:rFonts w:asciiTheme="majorHAnsi" w:hAnsiTheme="majorHAnsi" w:cs="Arial"/>
                <w:sz w:val="18"/>
                <w:szCs w:val="18"/>
              </w:rPr>
              <w:t>Pacificorp</w:t>
            </w:r>
            <w:proofErr w:type="spellEnd"/>
            <w:r w:rsidRPr="0017154F">
              <w:rPr>
                <w:rFonts w:asciiTheme="majorHAnsi" w:hAnsiTheme="majorHAnsi" w:cs="Arial"/>
                <w:sz w:val="18"/>
                <w:szCs w:val="18"/>
              </w:rPr>
              <w:t xml:space="preserve"> - Dave Johnston Plant</w:t>
            </w:r>
          </w:p>
        </w:tc>
        <w:tc>
          <w:tcPr>
            <w:tcW w:w="1170" w:type="dxa"/>
            <w:shd w:val="clear" w:color="auto" w:fill="auto"/>
            <w:vAlign w:val="center"/>
            <w:hideMark/>
          </w:tcPr>
          <w:p w14:paraId="7C5A8AA6"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4158</w:t>
            </w:r>
          </w:p>
        </w:tc>
        <w:tc>
          <w:tcPr>
            <w:tcW w:w="810" w:type="dxa"/>
            <w:shd w:val="clear" w:color="auto" w:fill="auto"/>
            <w:vAlign w:val="center"/>
            <w:hideMark/>
          </w:tcPr>
          <w:p w14:paraId="3885EAAE"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2023</w:t>
            </w:r>
          </w:p>
        </w:tc>
        <w:tc>
          <w:tcPr>
            <w:tcW w:w="1530" w:type="dxa"/>
            <w:shd w:val="clear" w:color="auto" w:fill="auto"/>
            <w:noWrap/>
            <w:vAlign w:val="center"/>
            <w:hideMark/>
          </w:tcPr>
          <w:p w14:paraId="0488F01A"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5500</w:t>
            </w:r>
          </w:p>
        </w:tc>
        <w:tc>
          <w:tcPr>
            <w:tcW w:w="1530" w:type="dxa"/>
            <w:shd w:val="clear" w:color="auto" w:fill="auto"/>
            <w:noWrap/>
            <w:vAlign w:val="center"/>
            <w:hideMark/>
          </w:tcPr>
          <w:p w14:paraId="146FD596" w14:textId="3A59B885"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5,501</w:t>
            </w:r>
          </w:p>
        </w:tc>
      </w:tr>
      <w:tr w:rsidR="00073196" w:rsidRPr="0017154F" w14:paraId="1D3EF4AF" w14:textId="77777777" w:rsidTr="008C3189">
        <w:trPr>
          <w:trHeight w:val="432"/>
        </w:trPr>
        <w:tc>
          <w:tcPr>
            <w:tcW w:w="748" w:type="dxa"/>
            <w:shd w:val="clear" w:color="auto" w:fill="auto"/>
            <w:vAlign w:val="center"/>
            <w:hideMark/>
          </w:tcPr>
          <w:p w14:paraId="397F71B2" w14:textId="77777777" w:rsidR="0017154F" w:rsidRPr="0017154F" w:rsidRDefault="0017154F" w:rsidP="0017154F">
            <w:pPr>
              <w:spacing w:line="240" w:lineRule="auto"/>
              <w:jc w:val="center"/>
              <w:rPr>
                <w:rFonts w:asciiTheme="majorHAnsi" w:hAnsiTheme="majorHAnsi" w:cs="Arial"/>
                <w:sz w:val="18"/>
                <w:szCs w:val="18"/>
              </w:rPr>
            </w:pPr>
            <w:r w:rsidRPr="0017154F">
              <w:rPr>
                <w:rFonts w:asciiTheme="majorHAnsi" w:hAnsiTheme="majorHAnsi" w:cs="Arial"/>
                <w:sz w:val="18"/>
                <w:szCs w:val="18"/>
              </w:rPr>
              <w:t>WY</w:t>
            </w:r>
          </w:p>
        </w:tc>
        <w:tc>
          <w:tcPr>
            <w:tcW w:w="3387" w:type="dxa"/>
            <w:shd w:val="clear" w:color="auto" w:fill="auto"/>
            <w:vAlign w:val="center"/>
            <w:hideMark/>
          </w:tcPr>
          <w:p w14:paraId="69397A7A" w14:textId="77777777" w:rsidR="0017154F" w:rsidRPr="0017154F" w:rsidRDefault="0017154F" w:rsidP="00073196">
            <w:pPr>
              <w:spacing w:line="240" w:lineRule="auto"/>
              <w:rPr>
                <w:rFonts w:asciiTheme="majorHAnsi" w:hAnsiTheme="majorHAnsi" w:cs="Arial"/>
                <w:sz w:val="18"/>
                <w:szCs w:val="18"/>
              </w:rPr>
            </w:pPr>
            <w:r w:rsidRPr="0017154F">
              <w:rPr>
                <w:rFonts w:asciiTheme="majorHAnsi" w:hAnsiTheme="majorHAnsi" w:cs="Arial"/>
                <w:sz w:val="18"/>
                <w:szCs w:val="18"/>
              </w:rPr>
              <w:t>Basin Electric -- Laramie River Station</w:t>
            </w:r>
          </w:p>
        </w:tc>
        <w:tc>
          <w:tcPr>
            <w:tcW w:w="1170" w:type="dxa"/>
            <w:shd w:val="clear" w:color="auto" w:fill="auto"/>
            <w:vAlign w:val="center"/>
            <w:hideMark/>
          </w:tcPr>
          <w:p w14:paraId="5D1C78BA"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6204</w:t>
            </w:r>
          </w:p>
        </w:tc>
        <w:tc>
          <w:tcPr>
            <w:tcW w:w="810" w:type="dxa"/>
            <w:shd w:val="clear" w:color="auto" w:fill="auto"/>
            <w:vAlign w:val="center"/>
            <w:hideMark/>
          </w:tcPr>
          <w:p w14:paraId="285072AE"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2023</w:t>
            </w:r>
          </w:p>
        </w:tc>
        <w:tc>
          <w:tcPr>
            <w:tcW w:w="1530" w:type="dxa"/>
            <w:shd w:val="clear" w:color="auto" w:fill="auto"/>
            <w:noWrap/>
            <w:vAlign w:val="center"/>
            <w:hideMark/>
          </w:tcPr>
          <w:p w14:paraId="314C4166" w14:textId="77777777"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6630</w:t>
            </w:r>
          </w:p>
        </w:tc>
        <w:tc>
          <w:tcPr>
            <w:tcW w:w="1530" w:type="dxa"/>
            <w:shd w:val="clear" w:color="auto" w:fill="auto"/>
            <w:noWrap/>
            <w:vAlign w:val="center"/>
            <w:hideMark/>
          </w:tcPr>
          <w:p w14:paraId="5575A4C5" w14:textId="1F088E1A" w:rsidR="0017154F" w:rsidRPr="0017154F" w:rsidRDefault="0017154F" w:rsidP="003336A2">
            <w:pPr>
              <w:spacing w:line="240" w:lineRule="auto"/>
              <w:jc w:val="center"/>
              <w:rPr>
                <w:rFonts w:asciiTheme="majorHAnsi" w:hAnsiTheme="majorHAnsi" w:cs="Arial"/>
                <w:sz w:val="18"/>
                <w:szCs w:val="18"/>
              </w:rPr>
            </w:pPr>
            <w:r w:rsidRPr="0017154F">
              <w:rPr>
                <w:rFonts w:asciiTheme="majorHAnsi" w:hAnsiTheme="majorHAnsi" w:cs="Arial"/>
                <w:sz w:val="18"/>
                <w:szCs w:val="18"/>
              </w:rPr>
              <w:t>8,451</w:t>
            </w:r>
          </w:p>
        </w:tc>
      </w:tr>
    </w:tbl>
    <w:p w14:paraId="6B8060D4" w14:textId="77777777" w:rsidR="00F44B92" w:rsidRPr="00CA4026" w:rsidRDefault="00F44B92" w:rsidP="00BB5AF4">
      <w:pPr>
        <w:spacing w:after="200"/>
        <w:rPr>
          <w:rStyle w:val="WP9Hyperlink"/>
          <w:rFonts w:asciiTheme="minorHAnsi" w:hAnsiTheme="minorHAnsi"/>
          <w:color w:val="000000"/>
          <w:highlight w:val="magenta"/>
          <w:u w:val="none"/>
        </w:rPr>
      </w:pPr>
    </w:p>
    <w:p w14:paraId="4B2EC0A2" w14:textId="77777777" w:rsidR="00AF2CDD" w:rsidRPr="005F018D" w:rsidRDefault="00AF2CDD" w:rsidP="00AF2CDD">
      <w:pPr>
        <w:pStyle w:val="Heading2"/>
        <w:rPr>
          <w:rStyle w:val="WP9Hyperlink"/>
          <w:b w:val="0"/>
          <w:color w:val="000000"/>
          <w:szCs w:val="24"/>
          <w:u w:val="none"/>
        </w:rPr>
      </w:pPr>
      <w:r w:rsidRPr="005F018D">
        <w:rPr>
          <w:rStyle w:val="WP9Hyperlink"/>
          <w:b w:val="0"/>
          <w:color w:val="000000"/>
          <w:szCs w:val="24"/>
          <w:u w:val="none"/>
        </w:rPr>
        <w:t>7.0</w:t>
      </w:r>
      <w:r>
        <w:rPr>
          <w:rStyle w:val="WP9Hyperlink"/>
          <w:b w:val="0"/>
          <w:color w:val="000000"/>
          <w:szCs w:val="24"/>
          <w:u w:val="none"/>
        </w:rPr>
        <w:tab/>
      </w:r>
      <w:r w:rsidRPr="005F018D">
        <w:rPr>
          <w:rStyle w:val="WP9Hyperlink"/>
          <w:b w:val="0"/>
          <w:color w:val="000000"/>
          <w:szCs w:val="24"/>
          <w:u w:val="none"/>
        </w:rPr>
        <w:t>Milestone Determination</w:t>
      </w:r>
    </w:p>
    <w:p w14:paraId="5BA0D6A6" w14:textId="22AF40B3" w:rsidR="00AF2CDD" w:rsidRPr="00C90E4A" w:rsidRDefault="00AF2CDD" w:rsidP="00AF2CDD">
      <w:pPr>
        <w:spacing w:after="200"/>
        <w:rPr>
          <w:rStyle w:val="WP9Hyperlink"/>
          <w:rFonts w:asciiTheme="minorHAnsi" w:hAnsiTheme="minorHAnsi"/>
          <w:color w:val="000000"/>
          <w:u w:val="none"/>
        </w:rPr>
      </w:pPr>
      <w:r w:rsidRPr="003E17F1">
        <w:rPr>
          <w:rStyle w:val="WP9Hyperlink"/>
          <w:rFonts w:asciiTheme="minorHAnsi" w:hAnsiTheme="minorHAnsi"/>
          <w:color w:val="000000"/>
          <w:u w:val="none"/>
        </w:rPr>
        <w:tab/>
      </w:r>
      <w:r w:rsidRPr="00C90E4A">
        <w:rPr>
          <w:rStyle w:val="WP9Hyperlink"/>
          <w:rFonts w:asciiTheme="minorHAnsi" w:hAnsiTheme="minorHAnsi"/>
          <w:color w:val="000000"/>
          <w:u w:val="none"/>
        </w:rPr>
        <w:t xml:space="preserve">The Section 309 regional </w:t>
      </w:r>
      <w:r w:rsidR="00C24CF7">
        <w:rPr>
          <w:rStyle w:val="WP9Hyperlink"/>
          <w:rFonts w:asciiTheme="minorHAnsi" w:hAnsiTheme="minorHAnsi"/>
          <w:color w:val="000000"/>
          <w:u w:val="none"/>
        </w:rPr>
        <w:t>201</w:t>
      </w:r>
      <w:r w:rsidR="00BB3A94">
        <w:rPr>
          <w:rStyle w:val="WP9Hyperlink"/>
          <w:rFonts w:asciiTheme="minorHAnsi" w:hAnsiTheme="minorHAnsi"/>
          <w:color w:val="000000"/>
          <w:u w:val="none"/>
        </w:rPr>
        <w:t>8</w:t>
      </w:r>
      <w:r w:rsidRPr="00C90E4A">
        <w:rPr>
          <w:rStyle w:val="WP9Hyperlink"/>
          <w:rFonts w:asciiTheme="minorHAnsi" w:hAnsiTheme="minorHAnsi"/>
          <w:color w:val="000000"/>
          <w:u w:val="none"/>
        </w:rPr>
        <w:t xml:space="preserve"> milestone is </w:t>
      </w:r>
      <w:r w:rsidR="00BB3A94" w:rsidRPr="006678FF">
        <w:rPr>
          <w:rFonts w:asciiTheme="minorHAnsi" w:hAnsiTheme="minorHAnsi"/>
        </w:rPr>
        <w:t>1</w:t>
      </w:r>
      <w:r w:rsidR="00BB3A94">
        <w:rPr>
          <w:rFonts w:asciiTheme="minorHAnsi" w:hAnsiTheme="minorHAnsi"/>
        </w:rPr>
        <w:t>41,849</w:t>
      </w:r>
      <w:r w:rsidRPr="00296497">
        <w:rPr>
          <w:rStyle w:val="WP9Hyperlink"/>
          <w:rFonts w:asciiTheme="minorHAnsi" w:hAnsiTheme="minorHAnsi"/>
          <w:color w:val="000000"/>
          <w:u w:val="none"/>
        </w:rPr>
        <w:t xml:space="preserve"> tons</w:t>
      </w:r>
      <w:r w:rsidRPr="00C90E4A">
        <w:rPr>
          <w:rStyle w:val="WP9Hyperlink"/>
          <w:rFonts w:asciiTheme="minorHAnsi" w:hAnsiTheme="minorHAnsi"/>
          <w:color w:val="000000"/>
          <w:u w:val="none"/>
        </w:rPr>
        <w:t xml:space="preserve"> SO</w:t>
      </w:r>
      <w:r w:rsidRPr="00C90E4A">
        <w:rPr>
          <w:rStyle w:val="WP9Hyperlink"/>
          <w:rFonts w:asciiTheme="minorHAnsi" w:hAnsiTheme="minorHAnsi"/>
          <w:color w:val="000000"/>
          <w:u w:val="none"/>
          <w:vertAlign w:val="subscript"/>
        </w:rPr>
        <w:t>2</w:t>
      </w:r>
      <w:r w:rsidRPr="00C90E4A">
        <w:rPr>
          <w:rStyle w:val="WP9Hyperlink"/>
          <w:rFonts w:asciiTheme="minorHAnsi" w:hAnsiTheme="minorHAnsi"/>
          <w:color w:val="000000"/>
          <w:u w:val="none"/>
        </w:rPr>
        <w:t>. The</w:t>
      </w:r>
      <w:r w:rsidR="00BB3A94">
        <w:rPr>
          <w:rStyle w:val="WP9Hyperlink"/>
          <w:rFonts w:asciiTheme="minorHAnsi" w:hAnsiTheme="minorHAnsi"/>
          <w:color w:val="000000"/>
          <w:u w:val="none"/>
        </w:rPr>
        <w:t xml:space="preserve"> </w:t>
      </w:r>
      <w:r w:rsidR="00B76BF4">
        <w:rPr>
          <w:rStyle w:val="WP9Hyperlink"/>
          <w:rFonts w:asciiTheme="minorHAnsi" w:hAnsiTheme="minorHAnsi"/>
          <w:color w:val="000000"/>
          <w:u w:val="none"/>
        </w:rPr>
        <w:t>202</w:t>
      </w:r>
      <w:r w:rsidR="00B517E7">
        <w:rPr>
          <w:rStyle w:val="WP9Hyperlink"/>
          <w:rFonts w:asciiTheme="minorHAnsi" w:hAnsiTheme="minorHAnsi"/>
          <w:color w:val="000000"/>
          <w:u w:val="none"/>
        </w:rPr>
        <w:t>3</w:t>
      </w:r>
      <w:r w:rsidR="00BB3A94">
        <w:rPr>
          <w:rStyle w:val="WP9Hyperlink"/>
          <w:rFonts w:asciiTheme="minorHAnsi" w:hAnsiTheme="minorHAnsi"/>
          <w:color w:val="000000"/>
          <w:u w:val="none"/>
        </w:rPr>
        <w:t xml:space="preserve"> </w:t>
      </w:r>
      <w:r w:rsidRPr="00C90E4A">
        <w:rPr>
          <w:rStyle w:val="WP9Hyperlink"/>
          <w:rFonts w:asciiTheme="minorHAnsi" w:hAnsiTheme="minorHAnsi"/>
          <w:color w:val="000000"/>
          <w:u w:val="none"/>
        </w:rPr>
        <w:t xml:space="preserve">adjusted emissions </w:t>
      </w:r>
      <w:r w:rsidR="00BB3A94">
        <w:rPr>
          <w:rStyle w:val="WP9Hyperlink"/>
          <w:rFonts w:asciiTheme="minorHAnsi" w:hAnsiTheme="minorHAnsi"/>
          <w:color w:val="000000"/>
          <w:u w:val="none"/>
        </w:rPr>
        <w:t>are</w:t>
      </w:r>
      <w:r w:rsidR="00C543A5">
        <w:rPr>
          <w:rStyle w:val="WP9Hyperlink"/>
          <w:rFonts w:asciiTheme="minorHAnsi" w:hAnsiTheme="minorHAnsi"/>
          <w:color w:val="000000"/>
          <w:u w:val="none"/>
        </w:rPr>
        <w:t xml:space="preserve"> </w:t>
      </w:r>
      <w:r w:rsidR="00504F3E">
        <w:rPr>
          <w:rStyle w:val="WP9Hyperlink"/>
          <w:rFonts w:asciiTheme="minorHAnsi" w:hAnsiTheme="minorHAnsi"/>
          <w:color w:val="000000"/>
          <w:u w:val="none"/>
        </w:rPr>
        <w:t>50,76</w:t>
      </w:r>
      <w:r w:rsidR="00F23FCB">
        <w:rPr>
          <w:rStyle w:val="WP9Hyperlink"/>
          <w:rFonts w:asciiTheme="minorHAnsi" w:hAnsiTheme="minorHAnsi"/>
          <w:color w:val="000000"/>
          <w:u w:val="none"/>
        </w:rPr>
        <w:t>7</w:t>
      </w:r>
      <w:r w:rsidR="0017056D" w:rsidRPr="00504F3E">
        <w:rPr>
          <w:rStyle w:val="WP9Hyperlink"/>
          <w:rFonts w:asciiTheme="minorHAnsi" w:hAnsiTheme="minorHAnsi"/>
          <w:color w:val="000000"/>
          <w:u w:val="none"/>
        </w:rPr>
        <w:t xml:space="preserve"> t</w:t>
      </w:r>
      <w:r w:rsidRPr="00504F3E">
        <w:rPr>
          <w:rStyle w:val="WP9Hyperlink"/>
          <w:rFonts w:asciiTheme="minorHAnsi" w:hAnsiTheme="minorHAnsi"/>
          <w:color w:val="000000"/>
          <w:u w:val="none"/>
        </w:rPr>
        <w:t>ons</w:t>
      </w:r>
      <w:r w:rsidRPr="00C90E4A">
        <w:rPr>
          <w:rStyle w:val="WP9Hyperlink"/>
          <w:rFonts w:asciiTheme="minorHAnsi" w:hAnsiTheme="minorHAnsi"/>
          <w:color w:val="000000"/>
          <w:u w:val="none"/>
        </w:rPr>
        <w:t xml:space="preserve"> SO</w:t>
      </w:r>
      <w:r w:rsidRPr="00C90E4A">
        <w:rPr>
          <w:rStyle w:val="WP9Hyperlink"/>
          <w:rFonts w:asciiTheme="minorHAnsi" w:hAnsiTheme="minorHAnsi"/>
          <w:color w:val="000000"/>
          <w:u w:val="none"/>
          <w:vertAlign w:val="subscript"/>
        </w:rPr>
        <w:t>2</w:t>
      </w:r>
      <w:r w:rsidR="003B6445">
        <w:rPr>
          <w:rStyle w:val="WP9Hyperlink"/>
          <w:rFonts w:asciiTheme="minorHAnsi" w:hAnsiTheme="minorHAnsi"/>
          <w:color w:val="000000"/>
          <w:u w:val="none"/>
        </w:rPr>
        <w:t>; t</w:t>
      </w:r>
      <w:r w:rsidRPr="00C90E4A">
        <w:rPr>
          <w:rStyle w:val="WP9Hyperlink"/>
          <w:rFonts w:asciiTheme="minorHAnsi" w:hAnsiTheme="minorHAnsi"/>
          <w:color w:val="000000"/>
          <w:u w:val="none"/>
        </w:rPr>
        <w:t xml:space="preserve">herefore, the participating states met </w:t>
      </w:r>
      <w:r w:rsidRPr="00296497">
        <w:rPr>
          <w:rStyle w:val="WP9Hyperlink"/>
          <w:rFonts w:asciiTheme="minorHAnsi" w:hAnsiTheme="minorHAnsi"/>
          <w:color w:val="000000"/>
          <w:u w:val="none"/>
        </w:rPr>
        <w:t xml:space="preserve">the </w:t>
      </w:r>
      <w:r w:rsidRPr="00296497">
        <w:rPr>
          <w:rFonts w:asciiTheme="minorHAnsi" w:hAnsiTheme="minorHAnsi"/>
        </w:rPr>
        <w:t>1</w:t>
      </w:r>
      <w:r w:rsidR="00BB3A94">
        <w:rPr>
          <w:rFonts w:asciiTheme="minorHAnsi" w:hAnsiTheme="minorHAnsi"/>
        </w:rPr>
        <w:t>41,849</w:t>
      </w:r>
      <w:r w:rsidRPr="00296497">
        <w:rPr>
          <w:rStyle w:val="WP9Hyperlink"/>
          <w:rFonts w:asciiTheme="minorHAnsi" w:hAnsiTheme="minorHAnsi"/>
          <w:color w:val="000000"/>
          <w:u w:val="none"/>
        </w:rPr>
        <w:t xml:space="preserve"> tons SO</w:t>
      </w:r>
      <w:r w:rsidRPr="00296497">
        <w:rPr>
          <w:rStyle w:val="WP9Hyperlink"/>
          <w:rFonts w:asciiTheme="minorHAnsi" w:hAnsiTheme="minorHAnsi"/>
          <w:color w:val="000000"/>
          <w:u w:val="none"/>
          <w:vertAlign w:val="subscript"/>
        </w:rPr>
        <w:t>2</w:t>
      </w:r>
      <w:r w:rsidRPr="00296497">
        <w:rPr>
          <w:rStyle w:val="WP9Hyperlink"/>
          <w:rFonts w:asciiTheme="minorHAnsi" w:hAnsiTheme="minorHAnsi"/>
          <w:color w:val="000000"/>
          <w:u w:val="none"/>
        </w:rPr>
        <w:t xml:space="preserve"> milestone</w:t>
      </w:r>
      <w:r w:rsidR="00BB3A94">
        <w:rPr>
          <w:rStyle w:val="WP9Hyperlink"/>
          <w:rFonts w:asciiTheme="minorHAnsi" w:hAnsiTheme="minorHAnsi"/>
          <w:color w:val="000000"/>
          <w:u w:val="none"/>
        </w:rPr>
        <w:t>.</w:t>
      </w:r>
    </w:p>
    <w:p w14:paraId="4457894D" w14:textId="77777777" w:rsidR="00AF2CDD" w:rsidRPr="005F018D" w:rsidRDefault="00AF2CDD" w:rsidP="00AF2CDD">
      <w:pPr>
        <w:pStyle w:val="Heading2"/>
        <w:rPr>
          <w:rStyle w:val="WP9Hyperlink"/>
          <w:b w:val="0"/>
          <w:color w:val="000000"/>
          <w:szCs w:val="24"/>
          <w:u w:val="none"/>
        </w:rPr>
      </w:pPr>
      <w:r>
        <w:rPr>
          <w:rStyle w:val="WP9Hyperlink"/>
          <w:b w:val="0"/>
          <w:color w:val="000000"/>
          <w:szCs w:val="24"/>
          <w:u w:val="none"/>
        </w:rPr>
        <w:t>8</w:t>
      </w:r>
      <w:r w:rsidRPr="005F018D">
        <w:rPr>
          <w:rStyle w:val="WP9Hyperlink"/>
          <w:b w:val="0"/>
          <w:color w:val="000000"/>
          <w:szCs w:val="24"/>
          <w:u w:val="none"/>
        </w:rPr>
        <w:t>.0</w:t>
      </w:r>
      <w:r>
        <w:rPr>
          <w:rStyle w:val="WP9Hyperlink"/>
          <w:b w:val="0"/>
          <w:color w:val="000000"/>
          <w:szCs w:val="24"/>
          <w:u w:val="none"/>
        </w:rPr>
        <w:tab/>
        <w:t>Public Comments</w:t>
      </w:r>
    </w:p>
    <w:p w14:paraId="52207883" w14:textId="1192F2DF" w:rsidR="00CA4026" w:rsidRDefault="00AF2CDD" w:rsidP="00000944">
      <w:pPr>
        <w:spacing w:after="240"/>
        <w:rPr>
          <w:rStyle w:val="WP9Hyperlink"/>
          <w:rFonts w:asciiTheme="minorHAnsi" w:hAnsiTheme="minorHAnsi"/>
          <w:color w:val="000000"/>
          <w:u w:val="none"/>
        </w:rPr>
      </w:pPr>
      <w:r w:rsidRPr="003E17F1">
        <w:rPr>
          <w:rStyle w:val="WP9Hyperlink"/>
          <w:rFonts w:asciiTheme="minorHAnsi" w:hAnsiTheme="minorHAnsi"/>
          <w:color w:val="000000"/>
          <w:u w:val="none"/>
        </w:rPr>
        <w:tab/>
      </w:r>
      <w:r w:rsidR="00313F70" w:rsidRPr="00734D09">
        <w:rPr>
          <w:rStyle w:val="WP9Hyperlink"/>
          <w:rFonts w:asciiTheme="minorHAnsi" w:hAnsiTheme="minorHAnsi"/>
          <w:color w:val="000000"/>
          <w:u w:val="none"/>
        </w:rPr>
        <w:t>New Mexico,</w:t>
      </w:r>
      <w:r w:rsidR="003E1F39" w:rsidRPr="00734D09">
        <w:rPr>
          <w:rStyle w:val="WP9Hyperlink"/>
          <w:rFonts w:asciiTheme="minorHAnsi" w:hAnsiTheme="minorHAnsi"/>
          <w:color w:val="000000"/>
          <w:u w:val="none"/>
        </w:rPr>
        <w:t xml:space="preserve"> Albuquerque-Bernalillo,</w:t>
      </w:r>
      <w:r w:rsidR="00313F70" w:rsidRPr="00734D09">
        <w:rPr>
          <w:rStyle w:val="WP9Hyperlink"/>
          <w:rFonts w:asciiTheme="minorHAnsi" w:hAnsiTheme="minorHAnsi"/>
          <w:color w:val="000000"/>
          <w:u w:val="none"/>
        </w:rPr>
        <w:t xml:space="preserve"> Utah, </w:t>
      </w:r>
      <w:r w:rsidR="007C0B3F" w:rsidRPr="00734D09">
        <w:rPr>
          <w:rStyle w:val="WP9Hyperlink"/>
          <w:rFonts w:asciiTheme="minorHAnsi" w:hAnsiTheme="minorHAnsi"/>
          <w:color w:val="000000"/>
          <w:u w:val="none"/>
        </w:rPr>
        <w:t xml:space="preserve">and </w:t>
      </w:r>
      <w:r w:rsidR="00313F70" w:rsidRPr="00734D09">
        <w:rPr>
          <w:rStyle w:val="WP9Hyperlink"/>
          <w:rFonts w:asciiTheme="minorHAnsi" w:hAnsiTheme="minorHAnsi"/>
          <w:color w:val="000000"/>
          <w:u w:val="none"/>
        </w:rPr>
        <w:t xml:space="preserve">Wyoming each published a draft of this report for public review and comment. The draft was also available on the </w:t>
      </w:r>
      <w:r w:rsidR="00E23CDB" w:rsidRPr="00734D09">
        <w:rPr>
          <w:rStyle w:val="WP9Hyperlink"/>
          <w:rFonts w:asciiTheme="minorHAnsi" w:hAnsiTheme="minorHAnsi"/>
          <w:color w:val="000000"/>
          <w:u w:val="none"/>
        </w:rPr>
        <w:t>WESTAR-</w:t>
      </w:r>
      <w:r w:rsidR="00313F70" w:rsidRPr="00734D09">
        <w:rPr>
          <w:rStyle w:val="WP9Hyperlink"/>
          <w:rFonts w:asciiTheme="minorHAnsi" w:hAnsiTheme="minorHAnsi"/>
          <w:color w:val="000000"/>
          <w:u w:val="none"/>
        </w:rPr>
        <w:t>WRAP website</w:t>
      </w:r>
      <w:r w:rsidR="0024485D">
        <w:rPr>
          <w:rStyle w:val="WP9Hyperlink"/>
          <w:rFonts w:asciiTheme="minorHAnsi" w:hAnsiTheme="minorHAnsi"/>
          <w:color w:val="000000"/>
          <w:u w:val="none"/>
        </w:rPr>
        <w:t xml:space="preserve"> at</w:t>
      </w:r>
      <w:r w:rsidR="009126C9">
        <w:rPr>
          <w:rStyle w:val="WP9Hyperlink"/>
          <w:rFonts w:asciiTheme="minorHAnsi" w:hAnsiTheme="minorHAnsi"/>
          <w:color w:val="000000"/>
          <w:u w:val="none"/>
        </w:rPr>
        <w:t xml:space="preserve"> </w:t>
      </w:r>
      <w:hyperlink r:id="rId29" w:history="1">
        <w:r w:rsidR="009126C9" w:rsidRPr="00782313">
          <w:rPr>
            <w:rStyle w:val="Hyperlink"/>
            <w:rFonts w:asciiTheme="minorHAnsi" w:hAnsiTheme="minorHAnsi"/>
          </w:rPr>
          <w:t>https://westar.org/regional-haze/</w:t>
        </w:r>
      </w:hyperlink>
      <w:r w:rsidR="009126C9">
        <w:rPr>
          <w:rStyle w:val="WP9Hyperlink"/>
          <w:rFonts w:asciiTheme="minorHAnsi" w:hAnsiTheme="minorHAnsi"/>
          <w:color w:val="000000"/>
          <w:u w:val="none"/>
        </w:rPr>
        <w:t xml:space="preserve">. No </w:t>
      </w:r>
      <w:r w:rsidR="00000944">
        <w:rPr>
          <w:rStyle w:val="WP9Hyperlink"/>
          <w:rFonts w:asciiTheme="minorHAnsi" w:hAnsiTheme="minorHAnsi"/>
          <w:color w:val="000000"/>
          <w:u w:val="none"/>
        </w:rPr>
        <w:t>public comments were submitted.</w:t>
      </w:r>
    </w:p>
    <w:p w14:paraId="310BB59D" w14:textId="77777777" w:rsidR="009E78F8" w:rsidRPr="00997620" w:rsidRDefault="009E78F8" w:rsidP="00BB5AF4">
      <w:pPr>
        <w:spacing w:after="240"/>
        <w:rPr>
          <w:rStyle w:val="WP9Hyperlink"/>
          <w:rFonts w:asciiTheme="minorHAnsi" w:hAnsiTheme="minorHAnsi"/>
          <w:color w:val="000000"/>
          <w:u w:val="none"/>
        </w:rPr>
      </w:pPr>
    </w:p>
    <w:p w14:paraId="13CCEBE4" w14:textId="31A2EB0F" w:rsidR="0099781D" w:rsidRPr="003B6445" w:rsidRDefault="0099781D" w:rsidP="003B6445">
      <w:pPr>
        <w:pStyle w:val="Heading2"/>
        <w:rPr>
          <w:rFonts w:asciiTheme="minorHAnsi" w:hAnsiTheme="minorHAnsi"/>
          <w:color w:val="000000"/>
        </w:rPr>
        <w:sectPr w:rsidR="0099781D" w:rsidRPr="003B6445" w:rsidSect="00CD1084">
          <w:footnotePr>
            <w:numFmt w:val="lowerLetter"/>
          </w:footnotePr>
          <w:endnotePr>
            <w:numFmt w:val="lowerLetter"/>
          </w:endnotePr>
          <w:pgSz w:w="12240" w:h="15840" w:code="1"/>
          <w:pgMar w:top="720" w:right="1440" w:bottom="720" w:left="1440" w:header="720" w:footer="720" w:gutter="0"/>
          <w:cols w:space="720"/>
          <w:docGrid w:linePitch="326"/>
        </w:sectPr>
      </w:pPr>
    </w:p>
    <w:p w14:paraId="37823AE8" w14:textId="77777777" w:rsidR="0099781D" w:rsidRPr="005F018D" w:rsidRDefault="0099781D" w:rsidP="00B3026A">
      <w:pPr>
        <w:pStyle w:val="Heading1"/>
        <w:jc w:val="center"/>
      </w:pPr>
      <w:r w:rsidRPr="005F018D">
        <w:lastRenderedPageBreak/>
        <w:t>Appendix A</w:t>
      </w:r>
    </w:p>
    <w:p w14:paraId="1A1AAF26" w14:textId="77777777" w:rsidR="0099781D" w:rsidRPr="003E17F1" w:rsidRDefault="0099781D">
      <w:pPr>
        <w:jc w:val="center"/>
        <w:rPr>
          <w:rFonts w:asciiTheme="minorHAnsi" w:hAnsiTheme="minorHAnsi"/>
          <w:b/>
          <w:sz w:val="20"/>
          <w:szCs w:val="20"/>
        </w:rPr>
      </w:pPr>
    </w:p>
    <w:p w14:paraId="0CBE089E" w14:textId="77777777" w:rsidR="0099781D" w:rsidRPr="003E17F1" w:rsidRDefault="0099781D">
      <w:pPr>
        <w:jc w:val="center"/>
        <w:rPr>
          <w:rFonts w:asciiTheme="minorHAnsi" w:hAnsiTheme="minorHAnsi"/>
          <w:b/>
          <w:sz w:val="20"/>
          <w:szCs w:val="20"/>
        </w:rPr>
      </w:pPr>
    </w:p>
    <w:p w14:paraId="715D57A2" w14:textId="77777777" w:rsidR="0099781D" w:rsidRPr="00477C49" w:rsidRDefault="0099781D" w:rsidP="00C90E4A">
      <w:pPr>
        <w:pStyle w:val="Caption"/>
        <w:jc w:val="center"/>
        <w:rPr>
          <w:rFonts w:asciiTheme="minorHAnsi" w:hAnsiTheme="minorHAnsi"/>
        </w:rPr>
      </w:pPr>
      <w:r w:rsidRPr="00477C49">
        <w:rPr>
          <w:rFonts w:asciiTheme="minorHAnsi" w:hAnsiTheme="minorHAnsi"/>
        </w:rPr>
        <w:t>Table A-1</w:t>
      </w:r>
    </w:p>
    <w:p w14:paraId="24F7D192" w14:textId="3B564AB0" w:rsidR="002A5714" w:rsidRDefault="00B76BF4" w:rsidP="002A5714">
      <w:pPr>
        <w:pStyle w:val="Caption"/>
        <w:spacing w:after="120"/>
        <w:jc w:val="center"/>
        <w:rPr>
          <w:rFonts w:asciiTheme="minorHAnsi" w:hAnsiTheme="minorHAnsi"/>
        </w:rPr>
      </w:pPr>
      <w:r w:rsidRPr="00E23900">
        <w:rPr>
          <w:rFonts w:asciiTheme="minorHAnsi" w:hAnsiTheme="minorHAnsi"/>
        </w:rPr>
        <w:t>202</w:t>
      </w:r>
      <w:r w:rsidR="00944FE9" w:rsidRPr="00E23900">
        <w:rPr>
          <w:rFonts w:asciiTheme="minorHAnsi" w:hAnsiTheme="minorHAnsi"/>
        </w:rPr>
        <w:t>3</w:t>
      </w:r>
      <w:r w:rsidR="006A07E2" w:rsidRPr="00E23900">
        <w:rPr>
          <w:rFonts w:asciiTheme="minorHAnsi" w:hAnsiTheme="minorHAnsi"/>
        </w:rPr>
        <w:t xml:space="preserve"> </w:t>
      </w:r>
      <w:r w:rsidR="0099781D" w:rsidRPr="00E23900">
        <w:rPr>
          <w:rFonts w:asciiTheme="minorHAnsi" w:hAnsiTheme="minorHAnsi"/>
        </w:rPr>
        <w:t xml:space="preserve">Reported and Adjusted Emissions for Sources Subject to </w:t>
      </w:r>
      <w:r w:rsidR="0099781D" w:rsidRPr="00E23900">
        <w:rPr>
          <w:rFonts w:asciiTheme="minorHAnsi" w:hAnsiTheme="minorHAnsi"/>
        </w:rPr>
        <w:br/>
        <w:t>Section 309 -- Regional Haze Rule</w:t>
      </w:r>
    </w:p>
    <w:tbl>
      <w:tblPr>
        <w:tblW w:w="14051" w:type="dxa"/>
        <w:tblInd w:w="10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9" w:type="dxa"/>
          <w:bottom w:w="29" w:type="dxa"/>
        </w:tblCellMar>
        <w:tblLook w:val="06A0" w:firstRow="1" w:lastRow="0" w:firstColumn="1" w:lastColumn="0" w:noHBand="1" w:noVBand="1"/>
      </w:tblPr>
      <w:tblGrid>
        <w:gridCol w:w="833"/>
        <w:gridCol w:w="1034"/>
        <w:gridCol w:w="1261"/>
        <w:gridCol w:w="785"/>
        <w:gridCol w:w="3923"/>
        <w:gridCol w:w="973"/>
        <w:gridCol w:w="7"/>
        <w:gridCol w:w="903"/>
        <w:gridCol w:w="1258"/>
        <w:gridCol w:w="1259"/>
        <w:gridCol w:w="1815"/>
      </w:tblGrid>
      <w:tr w:rsidR="006C78E7" w:rsidRPr="00BA1BE1" w14:paraId="67ED469F" w14:textId="77777777" w:rsidTr="004B4555">
        <w:trPr>
          <w:trHeight w:val="1583"/>
          <w:tblHeader/>
        </w:trPr>
        <w:tc>
          <w:tcPr>
            <w:tcW w:w="833" w:type="dxa"/>
            <w:shd w:val="clear" w:color="auto" w:fill="D9D9D9" w:themeFill="background1" w:themeFillShade="D9"/>
            <w:vAlign w:val="center"/>
            <w:hideMark/>
          </w:tcPr>
          <w:p w14:paraId="44D232E2"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State </w:t>
            </w:r>
          </w:p>
        </w:tc>
        <w:tc>
          <w:tcPr>
            <w:tcW w:w="1034" w:type="dxa"/>
            <w:shd w:val="clear" w:color="auto" w:fill="D9D9D9" w:themeFill="background1" w:themeFillShade="D9"/>
            <w:vAlign w:val="center"/>
            <w:hideMark/>
          </w:tcPr>
          <w:p w14:paraId="4EF6F379"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County FIPS</w:t>
            </w:r>
          </w:p>
        </w:tc>
        <w:tc>
          <w:tcPr>
            <w:tcW w:w="1261" w:type="dxa"/>
            <w:shd w:val="clear" w:color="auto" w:fill="D9D9D9" w:themeFill="background1" w:themeFillShade="D9"/>
            <w:vAlign w:val="center"/>
            <w:hideMark/>
          </w:tcPr>
          <w:p w14:paraId="72E74DF5"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State Facility Identifier</w:t>
            </w:r>
          </w:p>
        </w:tc>
        <w:tc>
          <w:tcPr>
            <w:tcW w:w="785" w:type="dxa"/>
            <w:shd w:val="clear" w:color="auto" w:fill="D9D9D9" w:themeFill="background1" w:themeFillShade="D9"/>
            <w:vAlign w:val="center"/>
            <w:hideMark/>
          </w:tcPr>
          <w:p w14:paraId="2EA6AA83"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ORIS</w:t>
            </w:r>
          </w:p>
        </w:tc>
        <w:tc>
          <w:tcPr>
            <w:tcW w:w="3923" w:type="dxa"/>
            <w:shd w:val="clear" w:color="auto" w:fill="D9D9D9" w:themeFill="background1" w:themeFillShade="D9"/>
            <w:vAlign w:val="center"/>
            <w:hideMark/>
          </w:tcPr>
          <w:p w14:paraId="4AE83CD4" w14:textId="77777777" w:rsidR="00BA1BE1" w:rsidRPr="00BA1BE1" w:rsidRDefault="00BA1BE1" w:rsidP="006C78E7">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Name</w:t>
            </w:r>
          </w:p>
        </w:tc>
        <w:tc>
          <w:tcPr>
            <w:tcW w:w="973" w:type="dxa"/>
            <w:shd w:val="clear" w:color="auto" w:fill="D9D9D9" w:themeFill="background1" w:themeFillShade="D9"/>
            <w:vAlign w:val="center"/>
            <w:hideMark/>
          </w:tcPr>
          <w:p w14:paraId="4A7277AB"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SIC</w:t>
            </w:r>
          </w:p>
        </w:tc>
        <w:tc>
          <w:tcPr>
            <w:tcW w:w="910" w:type="dxa"/>
            <w:gridSpan w:val="2"/>
            <w:shd w:val="clear" w:color="auto" w:fill="D9D9D9" w:themeFill="background1" w:themeFillShade="D9"/>
            <w:vAlign w:val="center"/>
            <w:hideMark/>
          </w:tcPr>
          <w:p w14:paraId="2465AF1E" w14:textId="77777777"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Plant NAICS</w:t>
            </w:r>
          </w:p>
        </w:tc>
        <w:tc>
          <w:tcPr>
            <w:tcW w:w="1258" w:type="dxa"/>
            <w:shd w:val="clear" w:color="auto" w:fill="D9D9D9" w:themeFill="background1" w:themeFillShade="D9"/>
            <w:vAlign w:val="center"/>
            <w:hideMark/>
          </w:tcPr>
          <w:p w14:paraId="6BFBDD20" w14:textId="266C6391"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Reported </w:t>
            </w:r>
            <w:r w:rsidR="00B76BF4">
              <w:rPr>
                <w:rFonts w:asciiTheme="majorHAnsi" w:hAnsiTheme="majorHAnsi" w:cstheme="majorHAnsi"/>
                <w:b/>
                <w:bCs/>
                <w:sz w:val="20"/>
                <w:szCs w:val="18"/>
              </w:rPr>
              <w:t>202</w:t>
            </w:r>
            <w:r w:rsidR="00EF3E7E">
              <w:rPr>
                <w:rFonts w:asciiTheme="majorHAnsi" w:hAnsiTheme="majorHAnsi" w:cstheme="majorHAnsi"/>
                <w:b/>
                <w:bCs/>
                <w:sz w:val="20"/>
                <w:szCs w:val="18"/>
              </w:rPr>
              <w:t>3</w:t>
            </w:r>
            <w:r w:rsidRPr="00BA1BE1">
              <w:rPr>
                <w:rFonts w:asciiTheme="majorHAnsi" w:hAnsiTheme="majorHAnsi" w:cstheme="majorHAnsi"/>
                <w:b/>
                <w:bCs/>
                <w:sz w:val="20"/>
                <w:szCs w:val="18"/>
              </w:rPr>
              <w:t xml:space="preserve"> SO2 Emissions (tons)</w:t>
            </w:r>
          </w:p>
        </w:tc>
        <w:tc>
          <w:tcPr>
            <w:tcW w:w="1259" w:type="dxa"/>
            <w:shd w:val="clear" w:color="auto" w:fill="D9D9D9" w:themeFill="background1" w:themeFillShade="D9"/>
            <w:vAlign w:val="center"/>
            <w:hideMark/>
          </w:tcPr>
          <w:p w14:paraId="385EFC8D" w14:textId="2673ED0E" w:rsidR="00BA1BE1" w:rsidRPr="00BA1BE1" w:rsidRDefault="00BA1BE1" w:rsidP="00BA1BE1">
            <w:pPr>
              <w:spacing w:line="240" w:lineRule="auto"/>
              <w:jc w:val="center"/>
              <w:rPr>
                <w:rFonts w:asciiTheme="majorHAnsi" w:hAnsiTheme="majorHAnsi" w:cstheme="majorHAnsi"/>
                <w:b/>
                <w:bCs/>
                <w:sz w:val="20"/>
                <w:szCs w:val="18"/>
              </w:rPr>
            </w:pPr>
            <w:r w:rsidRPr="00BA1BE1">
              <w:rPr>
                <w:rFonts w:asciiTheme="majorHAnsi" w:hAnsiTheme="majorHAnsi" w:cstheme="majorHAnsi"/>
                <w:b/>
                <w:bCs/>
                <w:sz w:val="20"/>
                <w:szCs w:val="18"/>
              </w:rPr>
              <w:t xml:space="preserve">Adjusted </w:t>
            </w:r>
            <w:r w:rsidR="00B76BF4">
              <w:rPr>
                <w:rFonts w:asciiTheme="majorHAnsi" w:hAnsiTheme="majorHAnsi" w:cstheme="majorHAnsi"/>
                <w:b/>
                <w:bCs/>
                <w:sz w:val="20"/>
                <w:szCs w:val="18"/>
              </w:rPr>
              <w:t>202</w:t>
            </w:r>
            <w:r w:rsidR="004B4555">
              <w:rPr>
                <w:rFonts w:asciiTheme="majorHAnsi" w:hAnsiTheme="majorHAnsi" w:cstheme="majorHAnsi"/>
                <w:b/>
                <w:bCs/>
                <w:sz w:val="20"/>
                <w:szCs w:val="18"/>
              </w:rPr>
              <w:t>3</w:t>
            </w:r>
            <w:r w:rsidRPr="00BA1BE1">
              <w:rPr>
                <w:rFonts w:asciiTheme="majorHAnsi" w:hAnsiTheme="majorHAnsi" w:cstheme="majorHAnsi"/>
                <w:b/>
                <w:bCs/>
                <w:sz w:val="20"/>
                <w:szCs w:val="18"/>
              </w:rPr>
              <w:t xml:space="preserve"> SO2 Emissions (tons)</w:t>
            </w:r>
          </w:p>
        </w:tc>
        <w:tc>
          <w:tcPr>
            <w:tcW w:w="1815" w:type="dxa"/>
            <w:shd w:val="clear" w:color="auto" w:fill="D9D9D9" w:themeFill="background1" w:themeFillShade="D9"/>
            <w:vAlign w:val="center"/>
            <w:hideMark/>
          </w:tcPr>
          <w:p w14:paraId="2F0B84AA" w14:textId="3F85DA4E" w:rsidR="00BA1BE1" w:rsidRPr="00BA1BE1" w:rsidRDefault="00B76BF4" w:rsidP="00BA1BE1">
            <w:pPr>
              <w:spacing w:line="240" w:lineRule="auto"/>
              <w:jc w:val="center"/>
              <w:rPr>
                <w:rFonts w:asciiTheme="majorHAnsi" w:hAnsiTheme="majorHAnsi" w:cstheme="majorHAnsi"/>
                <w:b/>
                <w:bCs/>
                <w:sz w:val="20"/>
                <w:szCs w:val="18"/>
              </w:rPr>
            </w:pPr>
            <w:r>
              <w:rPr>
                <w:rFonts w:asciiTheme="majorHAnsi" w:hAnsiTheme="majorHAnsi" w:cstheme="majorHAnsi"/>
                <w:b/>
                <w:bCs/>
                <w:sz w:val="20"/>
                <w:szCs w:val="18"/>
              </w:rPr>
              <w:t>202</w:t>
            </w:r>
            <w:r w:rsidR="004B4555">
              <w:rPr>
                <w:rFonts w:asciiTheme="majorHAnsi" w:hAnsiTheme="majorHAnsi" w:cstheme="majorHAnsi"/>
                <w:b/>
                <w:bCs/>
                <w:sz w:val="20"/>
                <w:szCs w:val="18"/>
              </w:rPr>
              <w:t>3</w:t>
            </w:r>
            <w:r w:rsidR="00BA1BE1" w:rsidRPr="00BA1BE1">
              <w:rPr>
                <w:rFonts w:asciiTheme="majorHAnsi" w:hAnsiTheme="majorHAnsi" w:cstheme="majorHAnsi"/>
                <w:b/>
                <w:bCs/>
                <w:sz w:val="20"/>
                <w:szCs w:val="18"/>
              </w:rPr>
              <w:t xml:space="preserve"> General New Monitoring Calculation Method Adjustment (tons)</w:t>
            </w:r>
          </w:p>
        </w:tc>
      </w:tr>
      <w:tr w:rsidR="00F4456D" w:rsidRPr="00F4456D" w14:paraId="475D65BF"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A9E15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ABQ</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35BDB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BBCE6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3500100008</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EB073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81684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GCC Rio Grande Inc. - Portland Cement Manufacturer</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896F3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7B5BA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327310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77FFFE" w14:textId="6B520CB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A48372" w14:textId="45BF891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87</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5393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4E8F91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153B0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85A7C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822DE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350150024</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288C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9870A6"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Agave Energy Co./Agave Dagger Draw Gas Plant AI211</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26798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10249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590083" w14:textId="5C54475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756FE4" w14:textId="5FFB673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299</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52508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3655D2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A855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E5C6A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03C25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350150002</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42BE2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858309" w14:textId="4B22B595"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Frontier Field Services /Empire Abo Plant [Old name: Arco Permian/Empire Abo Plant; BP America Production] AI 191</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00B1D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B30FB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6FE448" w14:textId="2A2158B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186</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958C86" w14:textId="4AB3685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186</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3CDFE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456F9F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B2A32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2961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A0EC7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350150011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9B9A7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81CB42"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DCP Midstream/Artesia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5F586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CF2E7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35D31C" w14:textId="7FE25D4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F0B124" w14:textId="5FB7D19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C86EF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D6F44DE"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C03D9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07A0E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B55A2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350250044</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4F2FA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E4E693" w14:textId="0D9CE90D"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DCP Midstream/Eunice Gas Plant [Old name: GPM GAS EUNICE GAS PLANT] AI 595</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6E705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D98D4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0CDEE9" w14:textId="3B95E0E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D08ADB" w14:textId="29F14A5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B6BB0E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37C569F"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B1F1A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90A15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8B0C6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350250035</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67BE4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FBBB75" w14:textId="57A55BFB"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DCP Midstream/Linam Ranch Gas Plant [Old name: GPM GAS/LINAM RANCH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532F2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45A99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88C4F9" w14:textId="6EF156A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F97598" w14:textId="28BE422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21530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5C65D8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13C21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09CC4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EE135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350150138</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69954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908B0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Duke -- Magnum/Pan Energy -- Burton Flats</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31606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4C54B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5ACFA3" w14:textId="73A07D3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DC9447" w14:textId="25FBA0E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314F9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36443D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FF7E9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A8C35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5BDCC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350150285</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3223F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99F0B3"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Duke Energy/Dagger Draw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B3F18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465EB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ABE6E0" w14:textId="0FB025A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C4DDF0" w14:textId="4158077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8333B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BB93C4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8C07D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16AB4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B5EEF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350250060</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9DD66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609</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36B7E8" w14:textId="7DC6983A"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VERSADO GAS PROCESSORS, LP/Eunice Gas Plant [Old name: WARREN PETROLEUM/EUNICE GAS PLANT] AI 609</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3A299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5AEF8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A50909" w14:textId="00426F3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5847DC" w14:textId="6922783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87</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C96F2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427B9A0"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4A29D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4D45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C3956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350250004</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4865C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75E581" w14:textId="46CAE66D"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Frontier Field Services/</w:t>
            </w:r>
            <w:proofErr w:type="spellStart"/>
            <w:r w:rsidRPr="00F4456D">
              <w:rPr>
                <w:rFonts w:asciiTheme="majorHAnsi" w:hAnsiTheme="majorHAnsi" w:cstheme="majorHAnsi"/>
                <w:sz w:val="18"/>
                <w:szCs w:val="18"/>
              </w:rPr>
              <w:t>Maljamar</w:t>
            </w:r>
            <w:proofErr w:type="spellEnd"/>
            <w:r w:rsidRPr="00F4456D">
              <w:rPr>
                <w:rFonts w:asciiTheme="majorHAnsi" w:hAnsiTheme="majorHAnsi" w:cstheme="majorHAnsi"/>
                <w:sz w:val="18"/>
                <w:szCs w:val="18"/>
              </w:rPr>
              <w:t xml:space="preserve"> Gas Plant </w:t>
            </w:r>
            <w:proofErr w:type="spellStart"/>
            <w:r w:rsidRPr="00F4456D">
              <w:rPr>
                <w:rFonts w:asciiTheme="majorHAnsi" w:hAnsiTheme="majorHAnsi" w:cstheme="majorHAnsi"/>
                <w:sz w:val="18"/>
                <w:szCs w:val="18"/>
              </w:rPr>
              <w:t>aI</w:t>
            </w:r>
            <w:proofErr w:type="spellEnd"/>
            <w:r w:rsidRPr="00F4456D">
              <w:rPr>
                <w:rFonts w:asciiTheme="majorHAnsi" w:hAnsiTheme="majorHAnsi" w:cstheme="majorHAnsi"/>
                <w:sz w:val="18"/>
                <w:szCs w:val="18"/>
              </w:rPr>
              <w:t xml:space="preserve"> 565</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F247A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B3979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CACE4C" w14:textId="5D6ED73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112</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592906" w14:textId="3D34B19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112</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87CF4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595E4BA"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08F90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4578F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3DD71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350310008</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71A53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DCCFC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Western Refining Southwest Inc-Gallup Refinery {Old names: Western Refinery/</w:t>
            </w:r>
            <w:proofErr w:type="spellStart"/>
            <w:r w:rsidRPr="00F4456D">
              <w:rPr>
                <w:rFonts w:asciiTheme="majorHAnsi" w:hAnsiTheme="majorHAnsi" w:cstheme="majorHAnsi"/>
                <w:sz w:val="18"/>
                <w:szCs w:val="18"/>
              </w:rPr>
              <w:t>Ciniza</w:t>
            </w:r>
            <w:proofErr w:type="spellEnd"/>
            <w:r w:rsidRPr="00F4456D">
              <w:rPr>
                <w:rFonts w:asciiTheme="majorHAnsi" w:hAnsiTheme="majorHAnsi" w:cstheme="majorHAnsi"/>
                <w:sz w:val="18"/>
                <w:szCs w:val="18"/>
              </w:rPr>
              <w:t xml:space="preserve"> Refinery (Gallup) and GIANT REFINING/CINIZA] AI 888</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1AFAC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12773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236220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7415D5" w14:textId="44FA9D3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763D3B" w14:textId="298EA56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17EAC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A8D7F2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747BA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B8857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E511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350250007</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D2C69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199DF8" w14:textId="70F6B91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Davis Gas Processing/Denton Plant AI 568</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CE0A8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7702A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ACEB07" w14:textId="073630C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C12DDB" w14:textId="606C6AA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08FA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D29896F"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53C6D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0037D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6B181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350150008</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88C9D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B310C5" w14:textId="73044306"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 xml:space="preserve">OXY USA WTP Limited Partnership - Indian Basin Gas Plant [Old Name -Marathon Oil/Indian Basin Gas </w:t>
            </w:r>
            <w:r w:rsidR="004B4555" w:rsidRPr="00F4456D">
              <w:rPr>
                <w:rFonts w:asciiTheme="majorHAnsi" w:hAnsiTheme="majorHAnsi" w:cstheme="majorHAnsi"/>
                <w:sz w:val="18"/>
                <w:szCs w:val="18"/>
              </w:rPr>
              <w:t>Plant] --</w:t>
            </w:r>
            <w:r w:rsidRPr="00F4456D">
              <w:rPr>
                <w:rFonts w:asciiTheme="majorHAnsi" w:hAnsiTheme="majorHAnsi" w:cstheme="majorHAnsi"/>
                <w:sz w:val="18"/>
                <w:szCs w:val="18"/>
              </w:rPr>
              <w:t>AI197</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97381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4FEB7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0888DA" w14:textId="10B191E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76C027" w14:textId="3A44B41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B6716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3E4077E"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8A3B5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12840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5F756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350150010</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26E19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A9C934" w14:textId="6FDC6D31"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 xml:space="preserve">Navajo Refining Co/Artesia </w:t>
            </w:r>
            <w:r w:rsidR="004B4555" w:rsidRPr="00F4456D">
              <w:rPr>
                <w:rFonts w:asciiTheme="majorHAnsi" w:hAnsiTheme="majorHAnsi" w:cstheme="majorHAnsi"/>
                <w:sz w:val="18"/>
                <w:szCs w:val="18"/>
              </w:rPr>
              <w:t>Refinery AI</w:t>
            </w:r>
            <w:r w:rsidRPr="00F4456D">
              <w:rPr>
                <w:rFonts w:asciiTheme="majorHAnsi" w:hAnsiTheme="majorHAnsi" w:cstheme="majorHAnsi"/>
                <w:sz w:val="18"/>
                <w:szCs w:val="18"/>
              </w:rPr>
              <w:t xml:space="preserve"> 198</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98BE4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C7D92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E335BE" w14:textId="7B052D8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917BCF" w14:textId="78BE3A0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47A07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9CB327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0035D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1DE3A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B43FC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350450902</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FFD6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2451</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E7810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Public Service Co of New Mexico/San Juan Generating Station AI 1421</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CB5B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E409B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55A253" w14:textId="18E7431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4112C3" w14:textId="34C651E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7976B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5B35CC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5B50E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3C643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DCB2A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350070001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BF488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4E26EF"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Raton Pub. Service/Raton Power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3841A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3C025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33479A" w14:textId="6E9D057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4E8E68" w14:textId="373FE51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B9E5D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741DF0E"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FBC2F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737B3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4B903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569</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E8DC5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598BDB"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Regency Field Services/Jal #3 [Old Name Southern Union Gas] /Jal #3</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574EB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747E0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12C1EE" w14:textId="4FC25E0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A6B1F0" w14:textId="2944F16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04FBE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BC8BEB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17171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DEBDA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1D9A4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350250051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B3CED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12C10F"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Versado</w:t>
            </w:r>
            <w:proofErr w:type="spellEnd"/>
            <w:r w:rsidRPr="00F4456D">
              <w:rPr>
                <w:rFonts w:asciiTheme="majorHAnsi" w:hAnsiTheme="majorHAnsi" w:cstheme="majorHAnsi"/>
                <w:sz w:val="18"/>
                <w:szCs w:val="18"/>
              </w:rPr>
              <w:t xml:space="preserve"> Gas Processors, LP/Eunice South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8523B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B7A6A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803A18" w14:textId="5DFD0C0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4168C3" w14:textId="54EE104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5CC39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950712D"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494F2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6EF2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5E9AF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350250061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6C1AC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4CE3DE" w14:textId="7655DF18"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Versado</w:t>
            </w:r>
            <w:proofErr w:type="spellEnd"/>
            <w:r w:rsidRPr="00F4456D">
              <w:rPr>
                <w:rFonts w:asciiTheme="majorHAnsi" w:hAnsiTheme="majorHAnsi" w:cstheme="majorHAnsi"/>
                <w:sz w:val="18"/>
                <w:szCs w:val="18"/>
              </w:rPr>
              <w:t xml:space="preserve"> Gas Processors, LLC / Monument Plant [Old name(s</w:t>
            </w:r>
            <w:proofErr w:type="gramStart"/>
            <w:r w:rsidRPr="00F4456D">
              <w:rPr>
                <w:rFonts w:asciiTheme="majorHAnsi" w:hAnsiTheme="majorHAnsi" w:cstheme="majorHAnsi"/>
                <w:sz w:val="18"/>
                <w:szCs w:val="18"/>
              </w:rPr>
              <w:t>):TARGA</w:t>
            </w:r>
            <w:proofErr w:type="gramEnd"/>
            <w:r w:rsidRPr="00F4456D">
              <w:rPr>
                <w:rFonts w:asciiTheme="majorHAnsi" w:hAnsiTheme="majorHAnsi" w:cstheme="majorHAnsi"/>
                <w:sz w:val="18"/>
                <w:szCs w:val="18"/>
              </w:rPr>
              <w:t xml:space="preserve"> MIDSTREAM SERVICES LP, WARREN PETROLEUM/MONUMENT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CE9AB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12E50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E9295E" w14:textId="64E2705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E4BD3D" w14:textId="4BF24F8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3C889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35CB16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12BC4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CD4C4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F415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350250063</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F873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86988A" w14:textId="133EA7DE"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Versado</w:t>
            </w:r>
            <w:proofErr w:type="spellEnd"/>
            <w:r w:rsidRPr="00F4456D">
              <w:rPr>
                <w:rFonts w:asciiTheme="majorHAnsi" w:hAnsiTheme="majorHAnsi" w:cstheme="majorHAnsi"/>
                <w:sz w:val="18"/>
                <w:szCs w:val="18"/>
              </w:rPr>
              <w:t xml:space="preserve"> Gas Processors, LLC/Saunders Plant [Old name(s): TARGA MIDSTREAM SERVICES, </w:t>
            </w:r>
            <w:r w:rsidR="004B4555" w:rsidRPr="00F4456D">
              <w:rPr>
                <w:rFonts w:asciiTheme="majorHAnsi" w:hAnsiTheme="majorHAnsi" w:cstheme="majorHAnsi"/>
                <w:sz w:val="18"/>
                <w:szCs w:val="18"/>
              </w:rPr>
              <w:t>LP, WARREN</w:t>
            </w:r>
            <w:r w:rsidRPr="00F4456D">
              <w:rPr>
                <w:rFonts w:asciiTheme="majorHAnsi" w:hAnsiTheme="majorHAnsi" w:cstheme="majorHAnsi"/>
                <w:sz w:val="18"/>
                <w:szCs w:val="18"/>
              </w:rPr>
              <w:t xml:space="preserve"> PETROLEUM/SAUNDERS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96A1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C3598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4D96A9" w14:textId="4E4C6C4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99A158" w14:textId="29E2A81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CF7F8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FD7095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0F190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3F31F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6D0BE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350310032</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6E6CD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87</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53533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Tri-State Gen &amp; Transmission/Escalante Station</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AC6B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A9C29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9C4460" w14:textId="1452F9F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F7DF09" w14:textId="775677D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340CA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AE9C1A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8EF76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B5C9F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11CE5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350450247</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25AF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CF8D0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CCI San Juan, LLC /San Juan River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6221C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B6C02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F5C753" w14:textId="3A70CC1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EC6F15" w14:textId="4B3FF02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6E276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545228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B60DF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42735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502D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350450023</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EE26E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56FD27" w14:textId="22D4618B"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Western Refining Southwest Inc./Bloomfield Products Terminal [Old name: GIANT INDUSTRIES/BLOOMFIELD REF] AI 1156</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3A927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11BC2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42471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6B93E8" w14:textId="31202D2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161B87" w14:textId="6EEE11C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2AC14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641708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4A39D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99815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039BB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350250075</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7A268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2501D5" w14:textId="15F636FD"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ConocoPhillips-Midland Office / MCA Tank Battery No. 2AI 624</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C3F45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825F2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899DE8" w14:textId="0BE6D25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7BAA57" w14:textId="3E2C6C1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42BC6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BDF9D9A"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862FE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NM</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E964D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CFADA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350250113</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46D0E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C97FA6"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ConocoPhillips-Midland Office / East Vacuum Liquid Recovery and CO2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32B73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AC278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763340" w14:textId="00D5248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98EEB9" w14:textId="493C5B3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0B0C3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DD520A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ADE2B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DEF15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DDDAF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10007</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271F3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E430E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Holcim-Devil's Slide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34FE2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07487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327310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746B80" w14:textId="587AF9F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129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4CFF04" w14:textId="2B834BA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464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E01D6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335</w:t>
            </w:r>
          </w:p>
        </w:tc>
      </w:tr>
      <w:tr w:rsidR="00F4456D" w:rsidRPr="00F4456D" w14:paraId="514D827D"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51B86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1B065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CE9AF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10034</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1C80B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8233FC"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Green Ventures, LLC (was Paradox Midstream LLC CCI Paradox Midstream LLC and Patara Midstream LLC and EnCana Oil &amp; Gas (USA) Incorporated and Tom Brown Incorporated) - Lisbon Natural Gas Processing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11260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ECF8C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211120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114F33" w14:textId="522B0C1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182E12" w14:textId="66FA323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AC3A8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ABE17D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93D98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0C6A3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53312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10081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9133A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3644</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768380"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PacifiCorp -- Carbon Power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9FA17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011AA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68782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D5160E" w14:textId="27662F9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8,005</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BBD3E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8,005</w:t>
            </w:r>
          </w:p>
        </w:tc>
      </w:tr>
      <w:tr w:rsidR="00F4456D" w:rsidRPr="00F4456D" w14:paraId="18584BCA"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A49C4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0BD9C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ADC77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10096</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C9C7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F70D82"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Sunnyside Cogeneration Associates -- Sunnyside Cogeneration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CDFAC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1BB51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FED752" w14:textId="5879C29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362</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9745D3" w14:textId="163BAC9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362</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5E6BB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9F0071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60503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F1FA9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26431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10119</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E804C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0CD83C"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Chevron Products Co. -- Salt Lake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D02C4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3F2EE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F82E76" w14:textId="72E1B8C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1B4214" w14:textId="0A59BBD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880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C2D19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846</w:t>
            </w:r>
          </w:p>
        </w:tc>
      </w:tr>
      <w:tr w:rsidR="00F4456D" w:rsidRPr="00F4456D" w14:paraId="17FD27C8"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4BF64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332F1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A1B15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10122</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1DFED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C792CB"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Big West Oil Company - Flying J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57512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D15C7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D47759" w14:textId="40CC262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F38DCA" w14:textId="2F87A81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934CF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162</w:t>
            </w:r>
          </w:p>
        </w:tc>
      </w:tr>
      <w:tr w:rsidR="00F4456D" w:rsidRPr="00F4456D" w14:paraId="0B7E324F"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EBDB0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3E7E4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8012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10123</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6149C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7595EA5"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Holly Refining and Marketing Co. -- Phillips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90AE9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87B29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DB7146" w14:textId="72CD15D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12</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954E2A" w14:textId="0247EEF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12</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E482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D90199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5CAD2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6AC02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5B5B7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10237</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D1756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6165</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926DC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PacifiCorp -- Hunter Power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893D7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07A22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E35953" w14:textId="659A7D7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1,940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E6ABBA" w14:textId="1CA7628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1,940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56F20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24C91F7"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3272E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6FA31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CFD3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10238</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F1361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8069</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B57F8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PacifiCorp -- Huntington Power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EA301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A43B8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FF42B2" w14:textId="0430F7A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1,057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AE4DEE" w14:textId="5C7CBFD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1,057</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F05DD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54B759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88858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783D6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D76CD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10311</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7702D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B5D02C"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Materion</w:t>
            </w:r>
            <w:proofErr w:type="spellEnd"/>
            <w:r w:rsidRPr="00F4456D">
              <w:rPr>
                <w:rFonts w:asciiTheme="majorHAnsi" w:hAnsiTheme="majorHAnsi" w:cstheme="majorHAnsi"/>
                <w:sz w:val="18"/>
                <w:szCs w:val="18"/>
              </w:rPr>
              <w:t xml:space="preserve"> Natural resources - Delta Mill (was Brush Resources)</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FFF36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1099</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2AE62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212299</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CC57AF" w14:textId="30172D4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4CB59C" w14:textId="52DB236A" w:rsidR="00F4456D" w:rsidRPr="00F4456D" w:rsidRDefault="00560418"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DFDDC4" w14:textId="29BD495A" w:rsidR="00F4456D" w:rsidRPr="00F4456D" w:rsidRDefault="00560418"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0</w:t>
            </w:r>
          </w:p>
        </w:tc>
      </w:tr>
      <w:tr w:rsidR="00F4456D" w:rsidRPr="00F4456D" w14:paraId="0F56FD9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EB872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8AC1CA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D45C2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10313</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E03F6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EE0AB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Graymont Western US Inc. -- Cricket Mountain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1E11A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1422</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991C1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212312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D6D2E7" w14:textId="3E752B9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65C522" w14:textId="6F230E4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48725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86C51B7"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4AAA0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6975C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D9409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10327</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8EE79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6481</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589CA5"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Intermountain Power Service Corporation -- Intermountain Generation Station</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7E56A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CE65E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2771A2" w14:textId="252170E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848</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3F284C" w14:textId="2EE8852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848</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F9BA4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FE34600"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87D97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AE40A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F26C9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10335</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3D436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4FE97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Tesoro West Coast -- Salt Lake City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BC374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A239E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930324" w14:textId="31E479C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EC61D4" w14:textId="2947FED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71F57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EFBA802"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01516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9DC4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7DA1A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10346</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B0B4C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132575"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Kennecott Utah Copper Corp. -- Smelter &amp;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90CF1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3331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64D00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331410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8CE147" w14:textId="4188A31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430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AB20A1" w14:textId="4A08F66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430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0FB76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F56EC30"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693A8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F82DA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FC586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10572</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D74C9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A318E6"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Kennecott Utah Copper Corp. -- Power Plant/Lab/Tailings Impoundment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FEFEA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7D2BD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212230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0857D0" w14:textId="19B7F6E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1D8595" w14:textId="54E23F1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9A666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4380B8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AFA97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04B3F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77CE2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10676</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2BE74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54BBCD"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Utelite</w:t>
            </w:r>
            <w:proofErr w:type="spellEnd"/>
            <w:r w:rsidRPr="00F4456D">
              <w:rPr>
                <w:rFonts w:asciiTheme="majorHAnsi" w:hAnsiTheme="majorHAnsi" w:cstheme="majorHAnsi"/>
                <w:sz w:val="18"/>
                <w:szCs w:val="18"/>
              </w:rPr>
              <w:t xml:space="preserve"> Corporation -- Shale processing</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B590F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3295</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8770B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212325</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FB97D6" w14:textId="02ABF3E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FCBC8A" w14:textId="069A1AA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D9E52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84BB52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1E895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UT</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87A60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F9F3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10790</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F4BBE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D88F5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Brigham Young University -- Main Campus</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FFC5F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8221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5A418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611310</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91166F" w14:textId="3FBE4D6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168F37" w14:textId="60FCA02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812A9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8A986D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70776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A157A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AD569A"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F021196</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E001B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AFF83E"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American Colloid Mineral Co -- Colony East &amp; West Plants</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D3461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1459</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353CA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212325</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460AF" w14:textId="74D369B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DDCBDA" w14:textId="5699CAB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E23F7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5FCA0C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A6619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BFB7B6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BA278A"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F020818</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8B9C0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56609</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EE33B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Basin Electric -- Dry Fork Station</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4254D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BD646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C22C39" w14:textId="209AFC7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887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2747E5" w14:textId="6501DB2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887</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FDF71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629BDC8"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B06B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1DAC9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732A66" w14:textId="48AEC473"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F000085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2E431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6204</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D1113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Basin Electric -- Laramie River Station</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8D491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38B08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D7CF20" w14:textId="04A748A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8,451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31FA69" w14:textId="1341C58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8,451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0445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CF1BA2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6259C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1B030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4F23C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1CE1E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13864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Big Horn Gas Proc -- Big Horn/Byron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133B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DF1C1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22121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4619E4" w14:textId="12C0AC8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5C10C0" w14:textId="5D44B69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FB762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807995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7F0BD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F4F36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2A3273"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F030139</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DE279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4150, 7504, 55479, 56596, 56319</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A0AB96"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 xml:space="preserve"> Neil Simpson Complex - includes WYGEN I, WYGEN II, WYGEN III, Neil Simpson I, and Neil Simpson II</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E35F0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C16F9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E33B8A" w14:textId="6114485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106</w:t>
            </w:r>
            <w:r w:rsidR="007864E1">
              <w:rPr>
                <w:rFonts w:asciiTheme="majorHAnsi" w:hAnsiTheme="majorHAnsi" w:cstheme="majorHAnsi"/>
                <w:sz w:val="18"/>
                <w:szCs w:val="18"/>
              </w:rPr>
              <w:t>8</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6FF9BF" w14:textId="68466FF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106</w:t>
            </w:r>
            <w:r w:rsidR="007864E1">
              <w:rPr>
                <w:rFonts w:asciiTheme="majorHAnsi" w:hAnsiTheme="majorHAnsi" w:cstheme="majorHAnsi"/>
                <w:sz w:val="18"/>
                <w:szCs w:val="18"/>
              </w:rPr>
              <w:t>8</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CCDB5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8977E0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922DF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FA56A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DA3D6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71C78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4151</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FF266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Black Hills Corporation - Osage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F704FD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B508E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249A75" w14:textId="746CF35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4647FB" w14:textId="6229131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443AF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AEE419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C9EFD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03C2A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4F8AE9"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F022325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90EB5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A1CC50" w14:textId="73B34E09"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 xml:space="preserve">Contango Resources LLC -- Bighorn 10-5 (Formerly Bighorn Wells) </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27F32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A6F93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B30CEB" w14:textId="55C151D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0362B8" w14:textId="5CCF3EF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EF146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C68D700"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56B15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DE4A1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CC6ADC"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F000532</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2C36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46632D"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Contango Resources LLC -- Lost Cabin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5771F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BBE88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D51834" w14:textId="04F212A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2,020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0E5875" w14:textId="15B048A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2,020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646AF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D2F3D9D"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0D279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B3B63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628CA9"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F000191</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0BB151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24401D"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Hilcorp Energy Company -- Carter Creek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BC539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DF33B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CF3943" w14:textId="065EFBE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D49401" w14:textId="26DEFE5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379</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3EF44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86BF63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5B6B6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333CA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ABD44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FA6A7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D2976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Chevron USA -- Table Rock Field</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06BA7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02C004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12B114" w14:textId="27085985" w:rsidR="00F4456D" w:rsidRPr="00F4456D" w:rsidRDefault="00BE2582"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202296" w14:textId="1403F950" w:rsidR="00F4456D" w:rsidRPr="00F4456D" w:rsidRDefault="007864E1"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DB918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FD95B92"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D1589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A40BD6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AEC76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2469A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F4E33C"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Chevron USA -- Table Rock Gas Plant (Formerly Anadarko E&amp;P Co LP)</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BE52E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7F6D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99359F" w14:textId="578208F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AAF858" w14:textId="207EF9C2" w:rsidR="00F4456D" w:rsidRPr="00F4456D" w:rsidRDefault="007864E1"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060AC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2595E1D"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9AEEF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CE6E8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73AB28"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W000001</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479DD2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25B672"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Northshore Exploration &amp; Production -- Whitney Canyon/Carter Creek Wellfield</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D523B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C8A1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E8091B" w14:textId="3F666D7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B242B3" w14:textId="15A7AC80" w:rsidR="00F4456D" w:rsidRPr="00F4456D" w:rsidRDefault="007864E1" w:rsidP="00F4456D">
            <w:pPr>
              <w:spacing w:line="240" w:lineRule="auto"/>
              <w:jc w:val="center"/>
              <w:rPr>
                <w:rFonts w:asciiTheme="majorHAnsi" w:hAnsiTheme="majorHAnsi" w:cstheme="majorHAnsi"/>
                <w:sz w:val="18"/>
                <w:szCs w:val="18"/>
              </w:rPr>
            </w:pPr>
            <w:r>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B5AA7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21F7EE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7C51E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5FF7A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AD3DA7"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F000349</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23040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5EBB5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Genesis Alkali Wyoming LP -- Westvaco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545CC0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2812</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AFFC3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327999</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6B5FC9" w14:textId="0EB48BD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2,045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467664" w14:textId="5C916AD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2,045</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38B90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D182DBC"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53A48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DBB59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D361CB"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W000002</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5B51B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5B5A7C"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Devon Energy Production Co., L.P. -- Beaver Creek Gas Field</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AB21E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41B45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AFC094" w14:textId="1E2BBB1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7B9AF2" w14:textId="51BD7B3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F4240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326A4F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9F80C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1C395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CFCF44"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F000058</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14F1A5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B1CBF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Denbury Onshore LLC -- Beaver Creek Compressor Station</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EA156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43C80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5D12C0" w14:textId="6BBF1F9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A52CA9" w14:textId="6D2E0D5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3AF323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9C7C57E"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92DBD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909821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D1280A"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F000329</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F9E6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40C481D" w14:textId="40C59C71"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Exxon Mobil Corporation -- Labarge Black Canyon Dehydration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37604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75FC5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5E0F9D" w14:textId="58B325D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89BF7E" w14:textId="1AC3445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842D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E48DF9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F027D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34943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2684D4" w14:textId="659F27E9"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F000327</w:t>
            </w:r>
            <w:proofErr w:type="spellEnd"/>
            <w:r w:rsidRPr="00F4456D">
              <w:rPr>
                <w:rFonts w:asciiTheme="majorHAnsi" w:hAnsiTheme="majorHAnsi" w:cstheme="majorHAnsi"/>
                <w:sz w:val="18"/>
                <w:szCs w:val="18"/>
              </w:rPr>
              <w:t xml:space="preserve">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C28F1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F8F3B2"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Exxon Mobil Corporation -- Shute Creek Treating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AA9DB4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4E87D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BD1FEA" w14:textId="31605BE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1,114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7E1652" w14:textId="5022514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1,114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2B181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24E2158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B6492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21E1F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E7B247" w14:textId="774AC980"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F026405</w:t>
            </w:r>
            <w:proofErr w:type="spellEnd"/>
            <w:r w:rsidRPr="00F4456D">
              <w:rPr>
                <w:rFonts w:asciiTheme="majorHAnsi" w:hAnsiTheme="majorHAnsi" w:cstheme="majorHAnsi"/>
                <w:sz w:val="18"/>
                <w:szCs w:val="18"/>
              </w:rPr>
              <w:t xml:space="preserve"> </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AF21F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B5CD5A"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Hiland Partners, LLC -- Hiland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93D56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6DC25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48621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C5E7EA" w14:textId="0AEFECE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5EC118" w14:textId="4F94815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227B5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98F0C9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6128A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622AA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0AE5D1"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F030136</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1F4FB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427360"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Holly Frontier Cheyenne Refining-- Cheyenne Renewable Diesel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511DC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F0A83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726460" w14:textId="2582186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081B6A1" w14:textId="0F33703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B4823B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4520A7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E36A1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695DF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462792"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F000539</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68BBE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FE02D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Merit Energy Company -- Oregon Basin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BF84C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550F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41439F" w14:textId="5CE3AD7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344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CC1096" w14:textId="436537B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344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A544E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AACD06A"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6782C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11756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D180C0"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W000004</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4536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494E08"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Merit Energy Company -- Oregon Basin Wellfield</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347D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28197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69918" w14:textId="25A8EEF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0BE889" w14:textId="1D1633E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E4C02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3A88F6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C4657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74B8A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DDC521"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F000827</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E0354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6846F9"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North Shore Exploration &amp; Production - Brady Gas Plant (formerly Merit Energy Company)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778D0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56B40A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9D30F2" w14:textId="4960E7C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6B96AC" w14:textId="77D1098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D80076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729EC86"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92108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8FCD2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BF068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F026274</w:t>
            </w:r>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6B027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4ABF1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Vaquero Big Horn, LLC - Shoshone Unit Battery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9194B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04307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C501CD" w14:textId="6B48228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E2FFDF" w14:textId="2966F16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7EE52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3E702D7"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63A4F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BCCB8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DA0464"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F026853</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E7493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EFC6FA"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Vaquero Big Horn, LLC - Frannie Unit Battery No 1</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B1272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D3713A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FAA2E6" w14:textId="39A4331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481D3C" w14:textId="6D48F92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964BC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6033AA1"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64C64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165E6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30E831"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F001075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4877E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2D3D3A"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Vaquero Big Horn, LLC - Cody Unit Battery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929F2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F0872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7D401A" w14:textId="34AF06C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10FEFC" w14:textId="238A3D9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12E5B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E05A60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ECFF4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0A9AB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DD45DA"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F001076</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CD95F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FEE013"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Vaquero Big Horn, LLC - Frannie 2 Battery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E70D5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EF7DE0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0CC213" w14:textId="5C43EB8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7E3A75" w14:textId="096A3C4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954F0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9E2ECE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BFE06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113C6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479CA8"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W000003</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F518CF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9973A0"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 xml:space="preserve">Merit Energy Company -- Whitney Canyon </w:t>
            </w:r>
            <w:proofErr w:type="spellStart"/>
            <w:r w:rsidRPr="00F4456D">
              <w:rPr>
                <w:rFonts w:asciiTheme="majorHAnsi" w:hAnsiTheme="majorHAnsi" w:cstheme="majorHAnsi"/>
                <w:sz w:val="18"/>
                <w:szCs w:val="18"/>
              </w:rPr>
              <w:t>WellField</w:t>
            </w:r>
            <w:proofErr w:type="spellEnd"/>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F5907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1300</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B2E99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21111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B8E61B" w14:textId="09FA240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606AF4" w14:textId="4B962E0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1F407F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EC7028C"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A6D65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78EC6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129C9D"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F000053</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0F016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B5F2D5"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North Shore Exploration &amp; Production -- Whitney Facility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31BF7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8B8CF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AB3A1D" w14:textId="31EDC70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E163B2" w14:textId="5B70A70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BA727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02D575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B9863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5F695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5800D8"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F000587</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25560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632D07"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Mountain Cement Company -- Laramie Cement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C34C7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65A6DA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23571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62D0DAF" w14:textId="2B4284C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72DC00" w14:textId="0BC45AE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133</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6EB54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2A5D0B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7D33D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3AD3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7E367AD"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F000584</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0D3EB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92C281A"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P4</w:t>
            </w:r>
            <w:proofErr w:type="spellEnd"/>
            <w:r w:rsidRPr="00F4456D">
              <w:rPr>
                <w:rFonts w:asciiTheme="majorHAnsi" w:hAnsiTheme="majorHAnsi" w:cstheme="majorHAnsi"/>
                <w:sz w:val="18"/>
                <w:szCs w:val="18"/>
              </w:rPr>
              <w:t xml:space="preserve"> Production, L.L.C. -- Rock Springs Coal Calcining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0B790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3312</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2F376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331111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6CF175" w14:textId="0291B7B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690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78188E" w14:textId="06E06C4C"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690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52CD9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99FD682"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4461B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06622B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4DBF8A"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F000644</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B9BF7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4158</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F20F45"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Pacificorp</w:t>
            </w:r>
            <w:proofErr w:type="spellEnd"/>
            <w:r w:rsidRPr="00F4456D">
              <w:rPr>
                <w:rFonts w:asciiTheme="majorHAnsi" w:hAnsiTheme="majorHAnsi" w:cstheme="majorHAnsi"/>
                <w:sz w:val="18"/>
                <w:szCs w:val="18"/>
              </w:rPr>
              <w:t xml:space="preserve"> - Dave Johnston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408CE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6A54A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43E8999" w14:textId="3EDEC0A8"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5,501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E3180E2" w14:textId="6AA7564E"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5,501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C2A30D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001313A"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F51A7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05D80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3E0566"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F000645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61E70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8066</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E8001C"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Pacificorp</w:t>
            </w:r>
            <w:proofErr w:type="spellEnd"/>
            <w:r w:rsidRPr="00F4456D">
              <w:rPr>
                <w:rFonts w:asciiTheme="majorHAnsi" w:hAnsiTheme="majorHAnsi" w:cstheme="majorHAnsi"/>
                <w:sz w:val="18"/>
                <w:szCs w:val="18"/>
              </w:rPr>
              <w:t xml:space="preserve"> -- Jim Bridger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58F7A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B20C3F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309AFF8" w14:textId="5698CC3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6,668</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B09881" w14:textId="30A6DF1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6,668</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2D77DC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425D229"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CA7A8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ACB5B9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84B14D"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F000647</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92B8E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4162</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CC5F45"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Pacificorp</w:t>
            </w:r>
            <w:proofErr w:type="spellEnd"/>
            <w:r w:rsidRPr="00F4456D">
              <w:rPr>
                <w:rFonts w:asciiTheme="majorHAnsi" w:hAnsiTheme="majorHAnsi" w:cstheme="majorHAnsi"/>
                <w:sz w:val="18"/>
                <w:szCs w:val="18"/>
              </w:rPr>
              <w:t xml:space="preserve"> -- Naughton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6F9C6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CF059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15345C" w14:textId="4D97E0D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1,439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869F76" w14:textId="0CC9D07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1,439</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5A05D3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C896F65"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FC696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646DA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CFACB0"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F000646</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20899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6101</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4A7145" w14:textId="77777777" w:rsidR="00F4456D" w:rsidRPr="00F4456D" w:rsidRDefault="00F4456D" w:rsidP="00F4456D">
            <w:pPr>
              <w:spacing w:line="240" w:lineRule="auto"/>
              <w:rPr>
                <w:rFonts w:asciiTheme="majorHAnsi" w:hAnsiTheme="majorHAnsi" w:cstheme="majorHAnsi"/>
                <w:sz w:val="18"/>
                <w:szCs w:val="18"/>
              </w:rPr>
            </w:pPr>
            <w:proofErr w:type="spellStart"/>
            <w:r w:rsidRPr="00F4456D">
              <w:rPr>
                <w:rFonts w:asciiTheme="majorHAnsi" w:hAnsiTheme="majorHAnsi" w:cstheme="majorHAnsi"/>
                <w:sz w:val="18"/>
                <w:szCs w:val="18"/>
              </w:rPr>
              <w:t>Pacificorp</w:t>
            </w:r>
            <w:proofErr w:type="spellEnd"/>
            <w:r w:rsidRPr="00F4456D">
              <w:rPr>
                <w:rFonts w:asciiTheme="majorHAnsi" w:hAnsiTheme="majorHAnsi" w:cstheme="majorHAnsi"/>
                <w:sz w:val="18"/>
                <w:szCs w:val="18"/>
              </w:rPr>
              <w:t xml:space="preserve"> -- </w:t>
            </w:r>
            <w:proofErr w:type="spellStart"/>
            <w:r w:rsidRPr="00F4456D">
              <w:rPr>
                <w:rFonts w:asciiTheme="majorHAnsi" w:hAnsiTheme="majorHAnsi" w:cstheme="majorHAnsi"/>
                <w:sz w:val="18"/>
                <w:szCs w:val="18"/>
              </w:rPr>
              <w:t>Wyodak</w:t>
            </w:r>
            <w:proofErr w:type="spellEnd"/>
            <w:r w:rsidRPr="00F4456D">
              <w:rPr>
                <w:rFonts w:asciiTheme="majorHAnsi" w:hAnsiTheme="majorHAnsi" w:cstheme="majorHAnsi"/>
                <w:sz w:val="18"/>
                <w:szCs w:val="18"/>
              </w:rPr>
              <w:t xml:space="preserve">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E825A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F868D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221112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DB6B75" w14:textId="2D8E77D5"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1,803</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B62F70" w14:textId="354E83C0"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1,803</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46B48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734FA39"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835E5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DC80C7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E934D01"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F000746</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3FE117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F167BC"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Simplot Phosphates LLC -- Rock Springs Fertilizer Complex</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257F3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2874</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58E852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325312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96DBBE" w14:textId="3CE4B8B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550</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78F93D" w14:textId="20212A8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550</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FE84A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A39D05E"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7055F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9DD45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E80D10"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F000758</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49D12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EA147E"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HF Sinclair Parco Refining LLC -- HF Sinclair Parco Refining LLC</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D21169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96D742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0DE452" w14:textId="04B207D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94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FCE3B3" w14:textId="3369455A"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94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2B80F9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6CBAABE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FB83CF"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FC77F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593EBF1"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F000531</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CF5DE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C517F1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HF Sinclair Casper Refining LLC -- Casper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84927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F35FD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B0333E" w14:textId="4815BAF4"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26</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AA823A" w14:textId="0226802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26</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52C77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3B8C3E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623D1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3CEC31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E204A57"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F000765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D0A96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B00687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American Soda LLC -- Green River Soda Ash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B40A4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1474</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FAFB1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325181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97E9AA2" w14:textId="5F151D6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8FF226D" w14:textId="1A0FFBF1"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41</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ED886D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78E6C683"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3FABA4"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A873B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C6B2138"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F000361</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E64BF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1FD2EDB"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TATA Chemicals (Soda Ash) Partners-- Green River Works (formerly General Chemical)</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8FB3F2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1474</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B2B2D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327999</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8362EE" w14:textId="10B3DC3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1,592</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6771E39" w14:textId="72410BD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1,592</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CF61C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3B5DAAB0"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85A8AC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8A991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1F9B96"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F000389</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BA0A4FB"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CE602B5"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The Western Sugar Cooperative -- Torrington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F02A53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2063</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88B8B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311313</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F235C35" w14:textId="26CC8FC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A9556A4" w14:textId="447120C9"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298EF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072635A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69F47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2D31FA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37</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719DD5"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F000803</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9C0EA9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8F57B01"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Genesis Alkali Wyoming, LP -- Granger Soda Ash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C7C936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1474</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2FBF8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212391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D40B44" w14:textId="2A33F862"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C10C8A" w14:textId="430390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20AE5F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CDB07DB"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E48B6D"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lastRenderedPageBreak/>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DC5ACF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38852F3"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F000832</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FE2ED0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FAADFBB"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University of Wyoming - Heat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955F4C2"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8221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9B7891"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61131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6D0E18" w14:textId="04854056"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6C28A21" w14:textId="7ACA101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7</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03A04E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5232458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9C932A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6A90D9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E7AC999"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F000060</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794BC76"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00ED874"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Contango Resources, LLC -- Elk Basin Gas Plant</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92AEF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A4EDE85"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BB7545" w14:textId="4F2CCB6F"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479</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88ED9EB" w14:textId="34D7A9D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479</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4ADDF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41F4C4BF"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DA1AB4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E35745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56043</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3BD7059"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F026405</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8BBD1A"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CE2862E"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Contango Resources, LLC -- Worland Gas Plant (WMS)</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9427697"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1321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CC5D90"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211112</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C2E4DED" w14:textId="07E3F4A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42</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7707D86" w14:textId="509C0143"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42</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8C6468"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r w:rsidR="00F4456D" w:rsidRPr="00F4456D" w14:paraId="16D82A44" w14:textId="77777777" w:rsidTr="004B4555">
        <w:tblPrEx>
          <w:tblLook w:val="04A0" w:firstRow="1" w:lastRow="0" w:firstColumn="1" w:lastColumn="0" w:noHBand="0" w:noVBand="1"/>
        </w:tblPrEx>
        <w:trPr>
          <w:trHeight w:val="490"/>
        </w:trPr>
        <w:tc>
          <w:tcPr>
            <w:tcW w:w="83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62C9A7E"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WY</w:t>
            </w:r>
          </w:p>
        </w:tc>
        <w:tc>
          <w:tcPr>
            <w:tcW w:w="10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82FBC1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45</w:t>
            </w:r>
          </w:p>
        </w:tc>
        <w:tc>
          <w:tcPr>
            <w:tcW w:w="126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A4EF8BF" w14:textId="77777777" w:rsidR="00F4456D" w:rsidRPr="00F4456D" w:rsidRDefault="00F4456D" w:rsidP="00F4456D">
            <w:pPr>
              <w:spacing w:line="240" w:lineRule="auto"/>
              <w:jc w:val="center"/>
              <w:rPr>
                <w:rFonts w:asciiTheme="majorHAnsi" w:hAnsiTheme="majorHAnsi" w:cstheme="majorHAnsi"/>
                <w:sz w:val="18"/>
                <w:szCs w:val="18"/>
              </w:rPr>
            </w:pPr>
            <w:proofErr w:type="spellStart"/>
            <w:r w:rsidRPr="00F4456D">
              <w:rPr>
                <w:rFonts w:asciiTheme="majorHAnsi" w:hAnsiTheme="majorHAnsi" w:cstheme="majorHAnsi"/>
                <w:sz w:val="18"/>
                <w:szCs w:val="18"/>
              </w:rPr>
              <w:t>F000980</w:t>
            </w:r>
            <w:proofErr w:type="spellEnd"/>
          </w:p>
        </w:tc>
        <w:tc>
          <w:tcPr>
            <w:tcW w:w="7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2A99B0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 </w:t>
            </w:r>
          </w:p>
        </w:tc>
        <w:tc>
          <w:tcPr>
            <w:tcW w:w="392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ADBECD" w14:textId="77777777" w:rsidR="00F4456D" w:rsidRPr="00F4456D" w:rsidRDefault="00F4456D" w:rsidP="00F4456D">
            <w:pPr>
              <w:spacing w:line="240" w:lineRule="auto"/>
              <w:rPr>
                <w:rFonts w:asciiTheme="majorHAnsi" w:hAnsiTheme="majorHAnsi" w:cstheme="majorHAnsi"/>
                <w:sz w:val="18"/>
                <w:szCs w:val="18"/>
              </w:rPr>
            </w:pPr>
            <w:r w:rsidRPr="00F4456D">
              <w:rPr>
                <w:rFonts w:asciiTheme="majorHAnsi" w:hAnsiTheme="majorHAnsi" w:cstheme="majorHAnsi"/>
                <w:sz w:val="18"/>
                <w:szCs w:val="18"/>
              </w:rPr>
              <w:t>Wyoming Refining Company -- Newcastle Refinery</w:t>
            </w:r>
          </w:p>
        </w:tc>
        <w:tc>
          <w:tcPr>
            <w:tcW w:w="98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77D9519"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2911</w:t>
            </w:r>
          </w:p>
        </w:tc>
        <w:tc>
          <w:tcPr>
            <w:tcW w:w="90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7CD834C"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32411</w:t>
            </w:r>
          </w:p>
        </w:tc>
        <w:tc>
          <w:tcPr>
            <w:tcW w:w="12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232E2B0" w14:textId="0F032D0D"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w:t>
            </w:r>
          </w:p>
        </w:tc>
        <w:tc>
          <w:tcPr>
            <w:tcW w:w="12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2F38F5" w14:textId="0BE944DB"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4</w:t>
            </w:r>
          </w:p>
        </w:tc>
        <w:tc>
          <w:tcPr>
            <w:tcW w:w="18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FA8B943" w14:textId="77777777" w:rsidR="00F4456D" w:rsidRPr="00F4456D" w:rsidRDefault="00F4456D" w:rsidP="00F4456D">
            <w:pPr>
              <w:spacing w:line="240" w:lineRule="auto"/>
              <w:jc w:val="center"/>
              <w:rPr>
                <w:rFonts w:asciiTheme="majorHAnsi" w:hAnsiTheme="majorHAnsi" w:cstheme="majorHAnsi"/>
                <w:sz w:val="18"/>
                <w:szCs w:val="18"/>
              </w:rPr>
            </w:pPr>
            <w:r w:rsidRPr="00F4456D">
              <w:rPr>
                <w:rFonts w:asciiTheme="majorHAnsi" w:hAnsiTheme="majorHAnsi" w:cstheme="majorHAnsi"/>
                <w:sz w:val="18"/>
                <w:szCs w:val="18"/>
              </w:rPr>
              <w:t>0</w:t>
            </w:r>
          </w:p>
        </w:tc>
      </w:tr>
    </w:tbl>
    <w:p w14:paraId="7B49C308" w14:textId="77777777" w:rsidR="0092290B" w:rsidRDefault="0092290B" w:rsidP="0092290B"/>
    <w:p w14:paraId="5310A77D" w14:textId="77777777" w:rsidR="002A5714" w:rsidRPr="003E17F1" w:rsidRDefault="002A5714" w:rsidP="002A5714">
      <w:pPr>
        <w:rPr>
          <w:rFonts w:asciiTheme="minorHAnsi" w:hAnsiTheme="minorHAnsi"/>
          <w:b/>
          <w:sz w:val="20"/>
          <w:szCs w:val="20"/>
        </w:rPr>
      </w:pPr>
    </w:p>
    <w:p w14:paraId="13C3762F" w14:textId="77777777" w:rsidR="0099781D" w:rsidRDefault="0099781D">
      <w:pPr>
        <w:outlineLvl w:val="0"/>
        <w:rPr>
          <w:b/>
        </w:rPr>
      </w:pPr>
    </w:p>
    <w:p w14:paraId="40F6560E" w14:textId="77777777" w:rsidR="003A697C" w:rsidRPr="005F018D" w:rsidRDefault="003A697C">
      <w:pPr>
        <w:outlineLvl w:val="0"/>
        <w:rPr>
          <w:b/>
        </w:rPr>
        <w:sectPr w:rsidR="003A697C" w:rsidRPr="005F018D" w:rsidSect="00CD1084">
          <w:headerReference w:type="even" r:id="rId30"/>
          <w:headerReference w:type="default" r:id="rId31"/>
          <w:footerReference w:type="default" r:id="rId32"/>
          <w:headerReference w:type="first" r:id="rId33"/>
          <w:footerReference w:type="first" r:id="rId34"/>
          <w:footnotePr>
            <w:numFmt w:val="lowerLetter"/>
          </w:footnotePr>
          <w:endnotePr>
            <w:numFmt w:val="lowerLetter"/>
          </w:endnotePr>
          <w:pgSz w:w="15840" w:h="12240" w:orient="landscape" w:code="1"/>
          <w:pgMar w:top="1440" w:right="720" w:bottom="1440" w:left="720" w:header="720" w:footer="720" w:gutter="0"/>
          <w:pgNumType w:start="1"/>
          <w:cols w:space="720"/>
          <w:docGrid w:linePitch="326"/>
        </w:sectPr>
      </w:pPr>
    </w:p>
    <w:p w14:paraId="4550234A" w14:textId="77777777" w:rsidR="0099781D" w:rsidRPr="005F018D" w:rsidRDefault="00EF5EBF" w:rsidP="00C90E4A">
      <w:pPr>
        <w:pStyle w:val="Heading1"/>
        <w:jc w:val="center"/>
      </w:pPr>
      <w:r w:rsidRPr="005F018D">
        <w:lastRenderedPageBreak/>
        <w:t>Appendix B</w:t>
      </w:r>
    </w:p>
    <w:p w14:paraId="2E669D4F" w14:textId="77777777" w:rsidR="0099781D" w:rsidRPr="003E17F1" w:rsidRDefault="0099781D">
      <w:pPr>
        <w:jc w:val="center"/>
        <w:rPr>
          <w:rFonts w:asciiTheme="minorHAnsi" w:hAnsiTheme="minorHAnsi"/>
          <w:b/>
          <w:sz w:val="20"/>
          <w:szCs w:val="20"/>
        </w:rPr>
      </w:pPr>
    </w:p>
    <w:p w14:paraId="31ADA7DB" w14:textId="77777777" w:rsidR="0099781D" w:rsidRPr="003E17F1" w:rsidRDefault="0099781D">
      <w:pPr>
        <w:jc w:val="center"/>
        <w:rPr>
          <w:rFonts w:asciiTheme="minorHAnsi" w:hAnsiTheme="minorHAnsi"/>
          <w:b/>
          <w:sz w:val="20"/>
          <w:szCs w:val="20"/>
        </w:rPr>
      </w:pPr>
    </w:p>
    <w:p w14:paraId="6E0D5353" w14:textId="77777777" w:rsidR="0099781D" w:rsidRPr="00C90E4A" w:rsidRDefault="0099781D" w:rsidP="00EF4B48">
      <w:pPr>
        <w:pStyle w:val="Caption"/>
        <w:spacing w:after="120"/>
        <w:jc w:val="center"/>
        <w:rPr>
          <w:rStyle w:val="WP9Hyperlink"/>
          <w:rFonts w:asciiTheme="minorHAnsi" w:hAnsiTheme="minorHAnsi"/>
          <w:color w:val="000000"/>
        </w:rPr>
      </w:pPr>
      <w:r w:rsidRPr="00BE45CE">
        <w:rPr>
          <w:rFonts w:asciiTheme="minorHAnsi" w:hAnsiTheme="minorHAnsi"/>
          <w:szCs w:val="20"/>
        </w:rPr>
        <w:t>Ta</w:t>
      </w:r>
      <w:r w:rsidRPr="00BE45CE">
        <w:rPr>
          <w:rFonts w:asciiTheme="minorHAnsi" w:hAnsiTheme="minorHAnsi"/>
        </w:rPr>
        <w:t xml:space="preserve">ble B-1 </w:t>
      </w:r>
      <w:r w:rsidRPr="00BE45CE">
        <w:rPr>
          <w:rFonts w:asciiTheme="minorHAnsi" w:hAnsiTheme="minorHAnsi"/>
        </w:rPr>
        <w:br/>
        <w:t xml:space="preserve">Sources Added to the </w:t>
      </w:r>
      <w:r w:rsidRPr="00BE45CE">
        <w:rPr>
          <w:rStyle w:val="WP9Hyperlink"/>
          <w:rFonts w:asciiTheme="minorHAnsi" w:hAnsiTheme="minorHAnsi"/>
          <w:color w:val="000000"/>
          <w:u w:val="none"/>
        </w:rPr>
        <w:t>SO</w:t>
      </w:r>
      <w:r w:rsidRPr="00BE45CE">
        <w:rPr>
          <w:rStyle w:val="WP9Hyperlink"/>
          <w:rFonts w:asciiTheme="minorHAnsi" w:hAnsiTheme="minorHAnsi"/>
          <w:color w:val="000000"/>
          <w:u w:val="none"/>
          <w:vertAlign w:val="subscript"/>
        </w:rPr>
        <w:t>2</w:t>
      </w:r>
      <w:r w:rsidRPr="00BE45CE">
        <w:rPr>
          <w:rStyle w:val="WP9Hyperlink"/>
          <w:rFonts w:asciiTheme="minorHAnsi" w:hAnsiTheme="minorHAnsi"/>
          <w:color w:val="000000"/>
          <w:u w:val="none"/>
        </w:rPr>
        <w:t xml:space="preserve"> Emissions and Milestone Report Inventory</w:t>
      </w:r>
    </w:p>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720"/>
        <w:gridCol w:w="1035"/>
        <w:gridCol w:w="1080"/>
        <w:gridCol w:w="5760"/>
        <w:gridCol w:w="1058"/>
      </w:tblGrid>
      <w:tr w:rsidR="0099781D" w:rsidRPr="001F5B61" w14:paraId="3C9F693E" w14:textId="77777777" w:rsidTr="00736AB5">
        <w:trPr>
          <w:cantSplit/>
          <w:trHeight w:val="881"/>
          <w:tblHeader/>
          <w:jc w:val="center"/>
        </w:trPr>
        <w:tc>
          <w:tcPr>
            <w:tcW w:w="720" w:type="dxa"/>
            <w:shd w:val="pct10" w:color="000000" w:fill="auto"/>
            <w:vAlign w:val="bottom"/>
          </w:tcPr>
          <w:p w14:paraId="10427E08"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State</w:t>
            </w:r>
          </w:p>
        </w:tc>
        <w:tc>
          <w:tcPr>
            <w:tcW w:w="1035" w:type="dxa"/>
            <w:shd w:val="pct10" w:color="000000" w:fill="auto"/>
            <w:vAlign w:val="bottom"/>
          </w:tcPr>
          <w:p w14:paraId="61E9BB84"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County FIP Code</w:t>
            </w:r>
          </w:p>
        </w:tc>
        <w:tc>
          <w:tcPr>
            <w:tcW w:w="1080" w:type="dxa"/>
            <w:shd w:val="pct10" w:color="000000" w:fill="auto"/>
            <w:vAlign w:val="bottom"/>
          </w:tcPr>
          <w:p w14:paraId="5ECBA326"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State Facility ID</w:t>
            </w:r>
          </w:p>
        </w:tc>
        <w:tc>
          <w:tcPr>
            <w:tcW w:w="5760" w:type="dxa"/>
            <w:shd w:val="pct10" w:color="000000" w:fill="auto"/>
            <w:vAlign w:val="bottom"/>
          </w:tcPr>
          <w:p w14:paraId="453ECDBC"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Facility Name</w:t>
            </w:r>
          </w:p>
        </w:tc>
        <w:tc>
          <w:tcPr>
            <w:tcW w:w="1058" w:type="dxa"/>
            <w:shd w:val="pct10" w:color="000000" w:fill="auto"/>
            <w:vAlign w:val="bottom"/>
          </w:tcPr>
          <w:p w14:paraId="1567727A" w14:textId="77777777" w:rsidR="0099781D" w:rsidRPr="00736AB5" w:rsidRDefault="0099781D" w:rsidP="00736AB5">
            <w:pPr>
              <w:jc w:val="center"/>
              <w:rPr>
                <w:rFonts w:asciiTheme="majorHAnsi" w:hAnsiTheme="majorHAnsi" w:cstheme="majorHAnsi"/>
                <w:b/>
                <w:sz w:val="18"/>
              </w:rPr>
            </w:pPr>
            <w:r w:rsidRPr="00736AB5">
              <w:rPr>
                <w:rFonts w:asciiTheme="majorHAnsi" w:hAnsiTheme="majorHAnsi" w:cstheme="majorHAnsi"/>
                <w:b/>
                <w:sz w:val="18"/>
              </w:rPr>
              <w:t>Report Year of Change</w:t>
            </w:r>
          </w:p>
        </w:tc>
      </w:tr>
      <w:tr w:rsidR="0099781D" w:rsidRPr="001F5B61" w14:paraId="2AD04046" w14:textId="77777777" w:rsidTr="00736AB5">
        <w:trPr>
          <w:cantSplit/>
          <w:jc w:val="center"/>
        </w:trPr>
        <w:tc>
          <w:tcPr>
            <w:tcW w:w="720" w:type="dxa"/>
            <w:vAlign w:val="center"/>
          </w:tcPr>
          <w:p w14:paraId="4A954ED5"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UT</w:t>
            </w:r>
          </w:p>
        </w:tc>
        <w:tc>
          <w:tcPr>
            <w:tcW w:w="1035" w:type="dxa"/>
            <w:vAlign w:val="center"/>
          </w:tcPr>
          <w:p w14:paraId="5CFE1D04"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043</w:t>
            </w:r>
          </w:p>
        </w:tc>
        <w:tc>
          <w:tcPr>
            <w:tcW w:w="1080" w:type="dxa"/>
          </w:tcPr>
          <w:p w14:paraId="1BAC01E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10676</w:t>
            </w:r>
          </w:p>
        </w:tc>
        <w:tc>
          <w:tcPr>
            <w:tcW w:w="5760" w:type="dxa"/>
          </w:tcPr>
          <w:p w14:paraId="30D23138" w14:textId="77777777" w:rsidR="0099781D" w:rsidRPr="00736AB5" w:rsidRDefault="0099781D" w:rsidP="00D02162">
            <w:pPr>
              <w:rPr>
                <w:rFonts w:asciiTheme="majorHAnsi" w:hAnsiTheme="majorHAnsi" w:cstheme="majorHAnsi"/>
                <w:sz w:val="16"/>
                <w:szCs w:val="16"/>
              </w:rPr>
            </w:pPr>
            <w:proofErr w:type="spellStart"/>
            <w:r w:rsidRPr="00736AB5">
              <w:rPr>
                <w:rFonts w:asciiTheme="majorHAnsi" w:hAnsiTheme="majorHAnsi" w:cstheme="majorHAnsi"/>
                <w:sz w:val="16"/>
                <w:szCs w:val="16"/>
              </w:rPr>
              <w:t>Utelite</w:t>
            </w:r>
            <w:proofErr w:type="spellEnd"/>
            <w:r w:rsidRPr="00736AB5">
              <w:rPr>
                <w:rFonts w:asciiTheme="majorHAnsi" w:hAnsiTheme="majorHAnsi" w:cstheme="majorHAnsi"/>
                <w:sz w:val="16"/>
                <w:szCs w:val="16"/>
              </w:rPr>
              <w:t xml:space="preserve"> Corporation -- Shale processing</w:t>
            </w:r>
          </w:p>
        </w:tc>
        <w:tc>
          <w:tcPr>
            <w:tcW w:w="1058" w:type="dxa"/>
          </w:tcPr>
          <w:p w14:paraId="0AB70890"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12C30BF5" w14:textId="77777777" w:rsidTr="00736AB5">
        <w:trPr>
          <w:cantSplit/>
          <w:jc w:val="center"/>
        </w:trPr>
        <w:tc>
          <w:tcPr>
            <w:tcW w:w="720" w:type="dxa"/>
            <w:vAlign w:val="center"/>
          </w:tcPr>
          <w:p w14:paraId="123E8D9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4CB346D"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011</w:t>
            </w:r>
          </w:p>
        </w:tc>
        <w:tc>
          <w:tcPr>
            <w:tcW w:w="1080" w:type="dxa"/>
          </w:tcPr>
          <w:p w14:paraId="02A6E728"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0002</w:t>
            </w:r>
          </w:p>
        </w:tc>
        <w:tc>
          <w:tcPr>
            <w:tcW w:w="5760" w:type="dxa"/>
          </w:tcPr>
          <w:p w14:paraId="57FEADC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American Colloid Mineral Company -- East Colony</w:t>
            </w:r>
          </w:p>
        </w:tc>
        <w:tc>
          <w:tcPr>
            <w:tcW w:w="1058" w:type="dxa"/>
          </w:tcPr>
          <w:p w14:paraId="605E0A6E"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5882B4E3" w14:textId="77777777" w:rsidTr="00736AB5">
        <w:trPr>
          <w:cantSplit/>
          <w:jc w:val="center"/>
        </w:trPr>
        <w:tc>
          <w:tcPr>
            <w:tcW w:w="720" w:type="dxa"/>
            <w:vAlign w:val="center"/>
          </w:tcPr>
          <w:p w14:paraId="5FAE825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44CBBA6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011</w:t>
            </w:r>
          </w:p>
        </w:tc>
        <w:tc>
          <w:tcPr>
            <w:tcW w:w="1080" w:type="dxa"/>
          </w:tcPr>
          <w:p w14:paraId="56BB812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0003</w:t>
            </w:r>
          </w:p>
        </w:tc>
        <w:tc>
          <w:tcPr>
            <w:tcW w:w="5760" w:type="dxa"/>
          </w:tcPr>
          <w:p w14:paraId="72566651"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American Colloid Mineral Company -- West Colony</w:t>
            </w:r>
          </w:p>
        </w:tc>
        <w:tc>
          <w:tcPr>
            <w:tcW w:w="1058" w:type="dxa"/>
          </w:tcPr>
          <w:p w14:paraId="77A0379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B45FB85" w14:textId="77777777" w:rsidTr="00736AB5">
        <w:trPr>
          <w:cantSplit/>
          <w:jc w:val="center"/>
        </w:trPr>
        <w:tc>
          <w:tcPr>
            <w:tcW w:w="720" w:type="dxa"/>
            <w:vAlign w:val="center"/>
          </w:tcPr>
          <w:p w14:paraId="2962587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3CE955BA"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037</w:t>
            </w:r>
          </w:p>
        </w:tc>
        <w:tc>
          <w:tcPr>
            <w:tcW w:w="1080" w:type="dxa"/>
          </w:tcPr>
          <w:p w14:paraId="5E8AA1C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0014</w:t>
            </w:r>
          </w:p>
        </w:tc>
        <w:tc>
          <w:tcPr>
            <w:tcW w:w="5760" w:type="dxa"/>
          </w:tcPr>
          <w:p w14:paraId="076C3325" w14:textId="77777777" w:rsidR="0099781D" w:rsidRPr="00736AB5" w:rsidRDefault="00EE083A" w:rsidP="00D02162">
            <w:pPr>
              <w:rPr>
                <w:rFonts w:asciiTheme="majorHAnsi" w:hAnsiTheme="majorHAnsi" w:cstheme="majorHAnsi"/>
                <w:sz w:val="16"/>
                <w:szCs w:val="16"/>
              </w:rPr>
            </w:pPr>
            <w:r w:rsidRPr="00736AB5">
              <w:rPr>
                <w:rFonts w:asciiTheme="majorHAnsi" w:hAnsiTheme="majorHAnsi" w:cstheme="majorHAnsi"/>
                <w:sz w:val="16"/>
                <w:szCs w:val="16"/>
              </w:rPr>
              <w:t>Chevron USA (previously owned by Anadarko E&amp;P Company LP) -- Table Rock Gas Plant</w:t>
            </w:r>
          </w:p>
        </w:tc>
        <w:tc>
          <w:tcPr>
            <w:tcW w:w="1058" w:type="dxa"/>
          </w:tcPr>
          <w:p w14:paraId="5CF2D799"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B87BC42" w14:textId="77777777" w:rsidTr="00736AB5">
        <w:trPr>
          <w:cantSplit/>
          <w:jc w:val="center"/>
        </w:trPr>
        <w:tc>
          <w:tcPr>
            <w:tcW w:w="720" w:type="dxa"/>
            <w:vAlign w:val="center"/>
          </w:tcPr>
          <w:p w14:paraId="76CF0F94"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095A11F"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0752DB9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0146</w:t>
            </w:r>
          </w:p>
        </w:tc>
        <w:tc>
          <w:tcPr>
            <w:tcW w:w="5760" w:type="dxa"/>
          </w:tcPr>
          <w:p w14:paraId="10BEBB4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 xml:space="preserve">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1</w:t>
            </w:r>
          </w:p>
        </w:tc>
        <w:tc>
          <w:tcPr>
            <w:tcW w:w="1058" w:type="dxa"/>
          </w:tcPr>
          <w:p w14:paraId="0022363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268781E7" w14:textId="77777777" w:rsidTr="00736AB5">
        <w:trPr>
          <w:cantSplit/>
          <w:jc w:val="center"/>
        </w:trPr>
        <w:tc>
          <w:tcPr>
            <w:tcW w:w="720" w:type="dxa"/>
            <w:vAlign w:val="center"/>
          </w:tcPr>
          <w:p w14:paraId="614DF5FF"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6E3292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041</w:t>
            </w:r>
          </w:p>
        </w:tc>
        <w:tc>
          <w:tcPr>
            <w:tcW w:w="1080" w:type="dxa"/>
          </w:tcPr>
          <w:p w14:paraId="53AE9E20"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0002</w:t>
            </w:r>
          </w:p>
        </w:tc>
        <w:tc>
          <w:tcPr>
            <w:tcW w:w="5760" w:type="dxa"/>
          </w:tcPr>
          <w:p w14:paraId="6CF50D1C"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BP America Production Company -- Whitney Canyon Well Field</w:t>
            </w:r>
          </w:p>
        </w:tc>
        <w:tc>
          <w:tcPr>
            <w:tcW w:w="1058" w:type="dxa"/>
          </w:tcPr>
          <w:p w14:paraId="1004E30F"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33101B0" w14:textId="77777777" w:rsidTr="00736AB5">
        <w:trPr>
          <w:cantSplit/>
          <w:jc w:val="center"/>
        </w:trPr>
        <w:tc>
          <w:tcPr>
            <w:tcW w:w="720" w:type="dxa"/>
            <w:vAlign w:val="center"/>
          </w:tcPr>
          <w:p w14:paraId="378F5163"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10320DF9"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6B4EB61D"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0009</w:t>
            </w:r>
          </w:p>
        </w:tc>
        <w:tc>
          <w:tcPr>
            <w:tcW w:w="5760" w:type="dxa"/>
          </w:tcPr>
          <w:p w14:paraId="45AD5A44"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Burlington Resources -- Bighorn Wells</w:t>
            </w:r>
          </w:p>
        </w:tc>
        <w:tc>
          <w:tcPr>
            <w:tcW w:w="1058" w:type="dxa"/>
          </w:tcPr>
          <w:p w14:paraId="266CB38D"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8319209" w14:textId="77777777" w:rsidTr="00736AB5">
        <w:trPr>
          <w:cantSplit/>
          <w:jc w:val="center"/>
        </w:trPr>
        <w:tc>
          <w:tcPr>
            <w:tcW w:w="720" w:type="dxa"/>
            <w:vAlign w:val="center"/>
          </w:tcPr>
          <w:p w14:paraId="7A1A9221"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864E9FB"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037</w:t>
            </w:r>
          </w:p>
        </w:tc>
        <w:tc>
          <w:tcPr>
            <w:tcW w:w="1080" w:type="dxa"/>
          </w:tcPr>
          <w:p w14:paraId="027134E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0177</w:t>
            </w:r>
          </w:p>
        </w:tc>
        <w:tc>
          <w:tcPr>
            <w:tcW w:w="5760" w:type="dxa"/>
          </w:tcPr>
          <w:p w14:paraId="4C0738E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Chevron USA -- Table Rock Field</w:t>
            </w:r>
          </w:p>
        </w:tc>
        <w:tc>
          <w:tcPr>
            <w:tcW w:w="1058" w:type="dxa"/>
          </w:tcPr>
          <w:p w14:paraId="4C1F4F49"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31AE30DC" w14:textId="77777777" w:rsidTr="00736AB5">
        <w:trPr>
          <w:cantSplit/>
          <w:jc w:val="center"/>
        </w:trPr>
        <w:tc>
          <w:tcPr>
            <w:tcW w:w="720" w:type="dxa"/>
            <w:vAlign w:val="center"/>
          </w:tcPr>
          <w:p w14:paraId="50BC6066"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5CB0FEE"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041</w:t>
            </w:r>
          </w:p>
        </w:tc>
        <w:tc>
          <w:tcPr>
            <w:tcW w:w="1080" w:type="dxa"/>
          </w:tcPr>
          <w:p w14:paraId="3A2F065C"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0008</w:t>
            </w:r>
          </w:p>
        </w:tc>
        <w:tc>
          <w:tcPr>
            <w:tcW w:w="5760" w:type="dxa"/>
          </w:tcPr>
          <w:p w14:paraId="3913DCA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Chevron USA -- Whitney Canyon/Carter Creek Well</w:t>
            </w:r>
            <w:r w:rsidR="004C2976" w:rsidRPr="00736AB5">
              <w:rPr>
                <w:rFonts w:asciiTheme="majorHAnsi" w:hAnsiTheme="majorHAnsi" w:cstheme="majorHAnsi"/>
                <w:sz w:val="16"/>
                <w:szCs w:val="16"/>
              </w:rPr>
              <w:t xml:space="preserve"> </w:t>
            </w:r>
            <w:r w:rsidRPr="00736AB5">
              <w:rPr>
                <w:rFonts w:asciiTheme="majorHAnsi" w:hAnsiTheme="majorHAnsi" w:cstheme="majorHAnsi"/>
                <w:sz w:val="16"/>
                <w:szCs w:val="16"/>
              </w:rPr>
              <w:t>field</w:t>
            </w:r>
          </w:p>
        </w:tc>
        <w:tc>
          <w:tcPr>
            <w:tcW w:w="1058" w:type="dxa"/>
          </w:tcPr>
          <w:p w14:paraId="4A04B55B"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1EF65544" w14:textId="77777777" w:rsidTr="00736AB5">
        <w:trPr>
          <w:cantSplit/>
          <w:jc w:val="center"/>
        </w:trPr>
        <w:tc>
          <w:tcPr>
            <w:tcW w:w="720" w:type="dxa"/>
            <w:vAlign w:val="center"/>
          </w:tcPr>
          <w:p w14:paraId="029548B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3413FB7C"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7DA39DCF"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0008</w:t>
            </w:r>
          </w:p>
        </w:tc>
        <w:tc>
          <w:tcPr>
            <w:tcW w:w="5760" w:type="dxa"/>
          </w:tcPr>
          <w:p w14:paraId="08EA1646"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Devon Energy Corp. -- Beaver Creek Gas Plant</w:t>
            </w:r>
          </w:p>
        </w:tc>
        <w:tc>
          <w:tcPr>
            <w:tcW w:w="1058" w:type="dxa"/>
          </w:tcPr>
          <w:p w14:paraId="17652983"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6C9465DD" w14:textId="77777777" w:rsidTr="00736AB5">
        <w:trPr>
          <w:cantSplit/>
          <w:jc w:val="center"/>
        </w:trPr>
        <w:tc>
          <w:tcPr>
            <w:tcW w:w="720" w:type="dxa"/>
            <w:vAlign w:val="center"/>
          </w:tcPr>
          <w:p w14:paraId="6B31E0E6"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738DD78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035</w:t>
            </w:r>
          </w:p>
        </w:tc>
        <w:tc>
          <w:tcPr>
            <w:tcW w:w="1080" w:type="dxa"/>
          </w:tcPr>
          <w:p w14:paraId="23925F8A"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0001</w:t>
            </w:r>
          </w:p>
        </w:tc>
        <w:tc>
          <w:tcPr>
            <w:tcW w:w="5760" w:type="dxa"/>
          </w:tcPr>
          <w:p w14:paraId="4167F099"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 xml:space="preserve">Exxon Mobil Corporation -- Labarge Black Canyon Facility (also identified as Black Canyon </w:t>
            </w:r>
            <w:proofErr w:type="spellStart"/>
            <w:r w:rsidRPr="00736AB5">
              <w:rPr>
                <w:rFonts w:asciiTheme="majorHAnsi" w:hAnsiTheme="majorHAnsi" w:cstheme="majorHAnsi"/>
                <w:sz w:val="16"/>
                <w:szCs w:val="16"/>
              </w:rPr>
              <w:t>Dehy</w:t>
            </w:r>
            <w:proofErr w:type="spellEnd"/>
            <w:r w:rsidRPr="00736AB5">
              <w:rPr>
                <w:rFonts w:asciiTheme="majorHAnsi" w:hAnsiTheme="majorHAnsi" w:cstheme="majorHAnsi"/>
                <w:sz w:val="16"/>
                <w:szCs w:val="16"/>
              </w:rPr>
              <w:t xml:space="preserve"> Facility)</w:t>
            </w:r>
          </w:p>
        </w:tc>
        <w:tc>
          <w:tcPr>
            <w:tcW w:w="1058" w:type="dxa"/>
          </w:tcPr>
          <w:p w14:paraId="4B85F1A7"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2E207DEA" w14:textId="77777777" w:rsidTr="00736AB5">
        <w:trPr>
          <w:cantSplit/>
          <w:trHeight w:val="143"/>
          <w:jc w:val="center"/>
        </w:trPr>
        <w:tc>
          <w:tcPr>
            <w:tcW w:w="720" w:type="dxa"/>
            <w:vAlign w:val="center"/>
          </w:tcPr>
          <w:p w14:paraId="1414B31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7927511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013</w:t>
            </w:r>
          </w:p>
        </w:tc>
        <w:tc>
          <w:tcPr>
            <w:tcW w:w="1080" w:type="dxa"/>
          </w:tcPr>
          <w:p w14:paraId="745EFA74"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0007</w:t>
            </w:r>
          </w:p>
        </w:tc>
        <w:tc>
          <w:tcPr>
            <w:tcW w:w="5760" w:type="dxa"/>
          </w:tcPr>
          <w:p w14:paraId="7ABB3457"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Devon Energy Corp. -- Beaver Creek Gas Field</w:t>
            </w:r>
          </w:p>
        </w:tc>
        <w:tc>
          <w:tcPr>
            <w:tcW w:w="1058" w:type="dxa"/>
          </w:tcPr>
          <w:p w14:paraId="7AD3E5B6"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7B139FC0" w14:textId="77777777" w:rsidTr="00736AB5">
        <w:trPr>
          <w:cantSplit/>
          <w:trHeight w:val="206"/>
          <w:jc w:val="center"/>
        </w:trPr>
        <w:tc>
          <w:tcPr>
            <w:tcW w:w="720" w:type="dxa"/>
            <w:vAlign w:val="center"/>
          </w:tcPr>
          <w:p w14:paraId="2F8B4B28"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0DCF0C82" w14:textId="77777777" w:rsidR="0099781D" w:rsidRPr="00736AB5" w:rsidRDefault="0099781D"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5B1F9BEF" w14:textId="77777777" w:rsidR="0099781D" w:rsidRPr="00736AB5" w:rsidRDefault="0099781D" w:rsidP="00D02162">
            <w:pPr>
              <w:rPr>
                <w:rFonts w:asciiTheme="majorHAnsi" w:hAnsiTheme="majorHAnsi" w:cstheme="majorHAnsi"/>
                <w:sz w:val="16"/>
                <w:szCs w:val="16"/>
              </w:rPr>
            </w:pPr>
            <w:r w:rsidRPr="00736AB5">
              <w:rPr>
                <w:rFonts w:asciiTheme="majorHAnsi" w:hAnsiTheme="majorHAnsi" w:cstheme="majorHAnsi"/>
                <w:sz w:val="16"/>
                <w:szCs w:val="16"/>
              </w:rPr>
              <w:t>0225</w:t>
            </w:r>
          </w:p>
        </w:tc>
        <w:tc>
          <w:tcPr>
            <w:tcW w:w="5760" w:type="dxa"/>
          </w:tcPr>
          <w:p w14:paraId="66AE0F51" w14:textId="77777777" w:rsidR="0099781D" w:rsidRPr="00736AB5" w:rsidRDefault="00EE083A" w:rsidP="00D02162">
            <w:pPr>
              <w:rPr>
                <w:rFonts w:asciiTheme="majorHAnsi" w:hAnsiTheme="majorHAnsi" w:cstheme="majorHAnsi"/>
                <w:sz w:val="16"/>
                <w:szCs w:val="16"/>
              </w:rPr>
            </w:pPr>
            <w:r w:rsidRPr="00736AB5">
              <w:rPr>
                <w:rFonts w:asciiTheme="majorHAnsi" w:hAnsiTheme="majorHAnsi" w:cstheme="majorHAnsi"/>
                <w:sz w:val="16"/>
                <w:szCs w:val="16"/>
              </w:rPr>
              <w:t xml:space="preserve">Cheyenne Light, Fuel and Power (a subsidiary of 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II</w:t>
            </w:r>
          </w:p>
        </w:tc>
        <w:tc>
          <w:tcPr>
            <w:tcW w:w="1058" w:type="dxa"/>
          </w:tcPr>
          <w:p w14:paraId="3E8E7B0E" w14:textId="77777777" w:rsidR="0099781D" w:rsidRPr="00736AB5" w:rsidRDefault="0099781D" w:rsidP="00D02162">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A22427" w:rsidRPr="001F5B61" w14:paraId="35B67B48" w14:textId="77777777" w:rsidTr="00736AB5">
        <w:trPr>
          <w:cantSplit/>
          <w:trHeight w:val="206"/>
          <w:jc w:val="center"/>
        </w:trPr>
        <w:tc>
          <w:tcPr>
            <w:tcW w:w="720" w:type="dxa"/>
            <w:vAlign w:val="center"/>
          </w:tcPr>
          <w:p w14:paraId="3AE47685" w14:textId="77777777" w:rsidR="00A22427" w:rsidRPr="00736AB5" w:rsidRDefault="00A22427"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69A3AA33" w14:textId="77777777" w:rsidR="00A22427" w:rsidRPr="00736AB5" w:rsidRDefault="00A22427"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46C55738" w14:textId="77777777" w:rsidR="00A22427" w:rsidRPr="00736AB5" w:rsidRDefault="00A22427" w:rsidP="00D02162">
            <w:pPr>
              <w:rPr>
                <w:rFonts w:asciiTheme="majorHAnsi" w:hAnsiTheme="majorHAnsi" w:cstheme="majorHAnsi"/>
                <w:sz w:val="16"/>
                <w:szCs w:val="16"/>
              </w:rPr>
            </w:pPr>
            <w:r w:rsidRPr="00736AB5">
              <w:rPr>
                <w:rFonts w:asciiTheme="majorHAnsi" w:hAnsiTheme="majorHAnsi" w:cstheme="majorHAnsi"/>
                <w:sz w:val="16"/>
                <w:szCs w:val="16"/>
              </w:rPr>
              <w:t>0281</w:t>
            </w:r>
          </w:p>
        </w:tc>
        <w:tc>
          <w:tcPr>
            <w:tcW w:w="5760" w:type="dxa"/>
          </w:tcPr>
          <w:p w14:paraId="1BAFE061" w14:textId="77777777" w:rsidR="00A22427" w:rsidRPr="00736AB5" w:rsidRDefault="00A22427" w:rsidP="00D02162">
            <w:pPr>
              <w:rPr>
                <w:rFonts w:asciiTheme="majorHAnsi" w:hAnsiTheme="majorHAnsi" w:cstheme="majorHAnsi"/>
                <w:sz w:val="16"/>
                <w:szCs w:val="16"/>
              </w:rPr>
            </w:pPr>
            <w:r w:rsidRPr="00736AB5">
              <w:rPr>
                <w:rFonts w:asciiTheme="majorHAnsi" w:hAnsiTheme="majorHAnsi" w:cstheme="majorHAnsi"/>
                <w:sz w:val="16"/>
                <w:szCs w:val="16"/>
              </w:rPr>
              <w:t xml:space="preserve">Black Hills Corporation – </w:t>
            </w:r>
            <w:proofErr w:type="spellStart"/>
            <w:r w:rsidRPr="00736AB5">
              <w:rPr>
                <w:rFonts w:asciiTheme="majorHAnsi" w:hAnsiTheme="majorHAnsi" w:cstheme="majorHAnsi"/>
                <w:sz w:val="16"/>
                <w:szCs w:val="16"/>
              </w:rPr>
              <w:t>Wygen</w:t>
            </w:r>
            <w:proofErr w:type="spellEnd"/>
            <w:r w:rsidRPr="00736AB5">
              <w:rPr>
                <w:rFonts w:asciiTheme="majorHAnsi" w:hAnsiTheme="majorHAnsi" w:cstheme="majorHAnsi"/>
                <w:sz w:val="16"/>
                <w:szCs w:val="16"/>
              </w:rPr>
              <w:t xml:space="preserve"> III</w:t>
            </w:r>
          </w:p>
        </w:tc>
        <w:tc>
          <w:tcPr>
            <w:tcW w:w="1058" w:type="dxa"/>
          </w:tcPr>
          <w:p w14:paraId="453FA555" w14:textId="77777777" w:rsidR="00A22427" w:rsidRPr="00736AB5" w:rsidRDefault="00A22427" w:rsidP="00D02162">
            <w:pPr>
              <w:jc w:val="center"/>
              <w:rPr>
                <w:rFonts w:asciiTheme="majorHAnsi" w:hAnsiTheme="majorHAnsi" w:cstheme="majorHAnsi"/>
                <w:sz w:val="16"/>
                <w:szCs w:val="16"/>
              </w:rPr>
            </w:pPr>
            <w:r w:rsidRPr="00736AB5">
              <w:rPr>
                <w:rFonts w:asciiTheme="majorHAnsi" w:hAnsiTheme="majorHAnsi" w:cstheme="majorHAnsi"/>
                <w:sz w:val="16"/>
                <w:szCs w:val="16"/>
              </w:rPr>
              <w:t>2010</w:t>
            </w:r>
          </w:p>
        </w:tc>
      </w:tr>
      <w:tr w:rsidR="00FA7781" w:rsidRPr="001F5B61" w14:paraId="0C0F2F94" w14:textId="77777777" w:rsidTr="00736AB5">
        <w:trPr>
          <w:cantSplit/>
          <w:trHeight w:val="206"/>
          <w:jc w:val="center"/>
        </w:trPr>
        <w:tc>
          <w:tcPr>
            <w:tcW w:w="720" w:type="dxa"/>
            <w:vAlign w:val="center"/>
          </w:tcPr>
          <w:p w14:paraId="34A444FC" w14:textId="77777777" w:rsidR="00FA7781" w:rsidRPr="00736AB5" w:rsidRDefault="00FA7781" w:rsidP="00736AB5">
            <w:pPr>
              <w:rPr>
                <w:rFonts w:asciiTheme="majorHAnsi" w:hAnsiTheme="majorHAnsi" w:cstheme="majorHAnsi"/>
                <w:sz w:val="16"/>
                <w:szCs w:val="16"/>
              </w:rPr>
            </w:pPr>
            <w:r w:rsidRPr="00736AB5">
              <w:rPr>
                <w:rFonts w:asciiTheme="majorHAnsi" w:hAnsiTheme="majorHAnsi" w:cstheme="majorHAnsi"/>
                <w:sz w:val="16"/>
                <w:szCs w:val="16"/>
              </w:rPr>
              <w:t>WY</w:t>
            </w:r>
          </w:p>
        </w:tc>
        <w:tc>
          <w:tcPr>
            <w:tcW w:w="1035" w:type="dxa"/>
            <w:vAlign w:val="center"/>
          </w:tcPr>
          <w:p w14:paraId="1CF74A7F" w14:textId="77777777" w:rsidR="00FA7781" w:rsidRPr="00736AB5" w:rsidRDefault="00FA7781" w:rsidP="00736AB5">
            <w:pPr>
              <w:rPr>
                <w:rFonts w:asciiTheme="majorHAnsi" w:hAnsiTheme="majorHAnsi" w:cstheme="majorHAnsi"/>
                <w:sz w:val="16"/>
                <w:szCs w:val="16"/>
              </w:rPr>
            </w:pPr>
            <w:r w:rsidRPr="00736AB5">
              <w:rPr>
                <w:rFonts w:asciiTheme="majorHAnsi" w:hAnsiTheme="majorHAnsi" w:cstheme="majorHAnsi"/>
                <w:sz w:val="16"/>
                <w:szCs w:val="16"/>
              </w:rPr>
              <w:t>005</w:t>
            </w:r>
          </w:p>
        </w:tc>
        <w:tc>
          <w:tcPr>
            <w:tcW w:w="1080" w:type="dxa"/>
          </w:tcPr>
          <w:p w14:paraId="55F1A089" w14:textId="77777777" w:rsidR="00FA7781" w:rsidRPr="00736AB5" w:rsidRDefault="00FA7781" w:rsidP="00D02162">
            <w:pPr>
              <w:rPr>
                <w:rFonts w:asciiTheme="majorHAnsi" w:hAnsiTheme="majorHAnsi" w:cstheme="majorHAnsi"/>
                <w:sz w:val="16"/>
                <w:szCs w:val="16"/>
              </w:rPr>
            </w:pPr>
            <w:r w:rsidRPr="00736AB5">
              <w:rPr>
                <w:rFonts w:asciiTheme="majorHAnsi" w:hAnsiTheme="majorHAnsi" w:cstheme="majorHAnsi"/>
                <w:sz w:val="16"/>
                <w:szCs w:val="16"/>
              </w:rPr>
              <w:t>0045</w:t>
            </w:r>
          </w:p>
        </w:tc>
        <w:tc>
          <w:tcPr>
            <w:tcW w:w="5760" w:type="dxa"/>
          </w:tcPr>
          <w:p w14:paraId="31A87CAA" w14:textId="77777777" w:rsidR="00FA7781" w:rsidRPr="00736AB5" w:rsidRDefault="00FA7781" w:rsidP="00D02162">
            <w:pPr>
              <w:rPr>
                <w:rFonts w:asciiTheme="majorHAnsi" w:hAnsiTheme="majorHAnsi" w:cstheme="majorHAnsi"/>
                <w:sz w:val="16"/>
                <w:szCs w:val="16"/>
              </w:rPr>
            </w:pPr>
            <w:r w:rsidRPr="00736AB5">
              <w:rPr>
                <w:rFonts w:asciiTheme="majorHAnsi" w:hAnsiTheme="majorHAnsi" w:cstheme="majorHAnsi"/>
                <w:sz w:val="16"/>
                <w:szCs w:val="16"/>
              </w:rPr>
              <w:t>Basin Electric – Dry Fork Station</w:t>
            </w:r>
          </w:p>
        </w:tc>
        <w:tc>
          <w:tcPr>
            <w:tcW w:w="1058" w:type="dxa"/>
          </w:tcPr>
          <w:p w14:paraId="27C357E2" w14:textId="77777777" w:rsidR="00FA7781" w:rsidRPr="00736AB5" w:rsidRDefault="00FA7781" w:rsidP="00D02162">
            <w:pPr>
              <w:jc w:val="center"/>
              <w:rPr>
                <w:rFonts w:asciiTheme="majorHAnsi" w:hAnsiTheme="majorHAnsi" w:cstheme="majorHAnsi"/>
                <w:sz w:val="16"/>
                <w:szCs w:val="16"/>
              </w:rPr>
            </w:pPr>
            <w:r w:rsidRPr="00736AB5">
              <w:rPr>
                <w:rFonts w:asciiTheme="majorHAnsi" w:hAnsiTheme="majorHAnsi" w:cstheme="majorHAnsi"/>
                <w:sz w:val="16"/>
                <w:szCs w:val="16"/>
              </w:rPr>
              <w:t>2011</w:t>
            </w:r>
          </w:p>
        </w:tc>
      </w:tr>
      <w:tr w:rsidR="00971FBB" w:rsidRPr="001F5B61" w14:paraId="01A8A8E2" w14:textId="77777777" w:rsidTr="00736AB5">
        <w:trPr>
          <w:cantSplit/>
          <w:trHeight w:val="206"/>
          <w:jc w:val="center"/>
        </w:trPr>
        <w:tc>
          <w:tcPr>
            <w:tcW w:w="720" w:type="dxa"/>
            <w:vAlign w:val="center"/>
          </w:tcPr>
          <w:p w14:paraId="3DA0F644"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NM</w:t>
            </w:r>
          </w:p>
        </w:tc>
        <w:tc>
          <w:tcPr>
            <w:tcW w:w="1035" w:type="dxa"/>
            <w:vAlign w:val="center"/>
          </w:tcPr>
          <w:p w14:paraId="63145CB4"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025</w:t>
            </w:r>
          </w:p>
        </w:tc>
        <w:tc>
          <w:tcPr>
            <w:tcW w:w="1080" w:type="dxa"/>
          </w:tcPr>
          <w:p w14:paraId="1F35429B" w14:textId="77777777" w:rsidR="00971FBB" w:rsidRPr="00736AB5" w:rsidRDefault="00971FBB" w:rsidP="00D02162">
            <w:pPr>
              <w:rPr>
                <w:rFonts w:asciiTheme="majorHAnsi" w:hAnsiTheme="majorHAnsi" w:cstheme="majorHAnsi"/>
                <w:sz w:val="16"/>
                <w:szCs w:val="16"/>
              </w:rPr>
            </w:pPr>
            <w:r w:rsidRPr="00736AB5">
              <w:rPr>
                <w:rFonts w:asciiTheme="majorHAnsi" w:hAnsiTheme="majorHAnsi" w:cstheme="majorHAnsi"/>
                <w:sz w:val="16"/>
                <w:szCs w:val="16"/>
              </w:rPr>
              <w:t>350250075</w:t>
            </w:r>
          </w:p>
        </w:tc>
        <w:tc>
          <w:tcPr>
            <w:tcW w:w="5760" w:type="dxa"/>
          </w:tcPr>
          <w:p w14:paraId="5948E649" w14:textId="77777777" w:rsidR="00971FBB" w:rsidRPr="00736AB5" w:rsidRDefault="00971FBB" w:rsidP="00D02162">
            <w:pPr>
              <w:rPr>
                <w:rFonts w:asciiTheme="majorHAnsi" w:hAnsiTheme="majorHAnsi" w:cstheme="majorHAnsi"/>
                <w:sz w:val="16"/>
                <w:szCs w:val="16"/>
              </w:rPr>
            </w:pPr>
            <w:r w:rsidRPr="00736AB5">
              <w:rPr>
                <w:rFonts w:asciiTheme="majorHAnsi" w:hAnsiTheme="majorHAnsi" w:cstheme="majorHAnsi"/>
                <w:sz w:val="16"/>
                <w:szCs w:val="16"/>
              </w:rPr>
              <w:t>ConocoPhillips-Midland Office / MCA Tank Battery No. 2</w:t>
            </w:r>
          </w:p>
        </w:tc>
        <w:tc>
          <w:tcPr>
            <w:tcW w:w="1058" w:type="dxa"/>
          </w:tcPr>
          <w:p w14:paraId="5CB75E47" w14:textId="77777777" w:rsidR="00971FBB" w:rsidRPr="00736AB5" w:rsidRDefault="00971FBB" w:rsidP="00D02162">
            <w:pPr>
              <w:jc w:val="center"/>
              <w:rPr>
                <w:rFonts w:asciiTheme="majorHAnsi" w:hAnsiTheme="majorHAnsi" w:cstheme="majorHAnsi"/>
                <w:sz w:val="16"/>
                <w:szCs w:val="16"/>
              </w:rPr>
            </w:pPr>
            <w:r w:rsidRPr="00736AB5">
              <w:rPr>
                <w:rFonts w:asciiTheme="majorHAnsi" w:hAnsiTheme="majorHAnsi" w:cstheme="majorHAnsi"/>
                <w:sz w:val="16"/>
                <w:szCs w:val="16"/>
              </w:rPr>
              <w:t>2013</w:t>
            </w:r>
          </w:p>
        </w:tc>
      </w:tr>
      <w:tr w:rsidR="00971FBB" w:rsidRPr="001F5B61" w14:paraId="15B6DCA5" w14:textId="77777777" w:rsidTr="00736AB5">
        <w:trPr>
          <w:cantSplit/>
          <w:trHeight w:val="206"/>
          <w:jc w:val="center"/>
        </w:trPr>
        <w:tc>
          <w:tcPr>
            <w:tcW w:w="720" w:type="dxa"/>
            <w:vAlign w:val="center"/>
          </w:tcPr>
          <w:p w14:paraId="3E638679"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NM</w:t>
            </w:r>
          </w:p>
        </w:tc>
        <w:tc>
          <w:tcPr>
            <w:tcW w:w="1035" w:type="dxa"/>
            <w:vAlign w:val="center"/>
          </w:tcPr>
          <w:p w14:paraId="0B2A956C" w14:textId="77777777" w:rsidR="00971FBB" w:rsidRPr="00736AB5" w:rsidRDefault="00971FBB" w:rsidP="00736AB5">
            <w:pPr>
              <w:rPr>
                <w:rFonts w:asciiTheme="majorHAnsi" w:hAnsiTheme="majorHAnsi" w:cstheme="majorHAnsi"/>
                <w:sz w:val="16"/>
                <w:szCs w:val="16"/>
              </w:rPr>
            </w:pPr>
            <w:r w:rsidRPr="00736AB5">
              <w:rPr>
                <w:rFonts w:asciiTheme="majorHAnsi" w:hAnsiTheme="majorHAnsi" w:cstheme="majorHAnsi"/>
                <w:sz w:val="16"/>
                <w:szCs w:val="16"/>
              </w:rPr>
              <w:t>025</w:t>
            </w:r>
          </w:p>
        </w:tc>
        <w:tc>
          <w:tcPr>
            <w:tcW w:w="1080" w:type="dxa"/>
          </w:tcPr>
          <w:p w14:paraId="7BB2F76B" w14:textId="77777777" w:rsidR="00971FBB" w:rsidRPr="00736AB5" w:rsidRDefault="00A22B24" w:rsidP="00D02162">
            <w:pPr>
              <w:rPr>
                <w:rFonts w:asciiTheme="majorHAnsi" w:hAnsiTheme="majorHAnsi" w:cstheme="majorHAnsi"/>
                <w:sz w:val="16"/>
                <w:szCs w:val="16"/>
              </w:rPr>
            </w:pPr>
            <w:r w:rsidRPr="00736AB5">
              <w:rPr>
                <w:rFonts w:asciiTheme="majorHAnsi" w:hAnsiTheme="majorHAnsi" w:cstheme="majorHAnsi"/>
                <w:sz w:val="16"/>
                <w:szCs w:val="16"/>
              </w:rPr>
              <w:t>350250113</w:t>
            </w:r>
          </w:p>
        </w:tc>
        <w:tc>
          <w:tcPr>
            <w:tcW w:w="5760" w:type="dxa"/>
          </w:tcPr>
          <w:p w14:paraId="1BCAC400" w14:textId="77777777" w:rsidR="00971FBB" w:rsidRPr="00736AB5" w:rsidRDefault="00A22B24" w:rsidP="00D02162">
            <w:pPr>
              <w:rPr>
                <w:rFonts w:asciiTheme="majorHAnsi" w:hAnsiTheme="majorHAnsi" w:cstheme="majorHAnsi"/>
                <w:sz w:val="16"/>
                <w:szCs w:val="16"/>
              </w:rPr>
            </w:pPr>
            <w:r w:rsidRPr="00736AB5">
              <w:rPr>
                <w:rFonts w:asciiTheme="majorHAnsi" w:hAnsiTheme="majorHAnsi" w:cstheme="majorHAnsi"/>
                <w:sz w:val="16"/>
                <w:szCs w:val="16"/>
              </w:rPr>
              <w:t>ConocoPhillips-Midland Office / East Vacuum Liquid Recovery and CO2 Plant</w:t>
            </w:r>
          </w:p>
        </w:tc>
        <w:tc>
          <w:tcPr>
            <w:tcW w:w="1058" w:type="dxa"/>
          </w:tcPr>
          <w:p w14:paraId="4CCDFEDA" w14:textId="77777777" w:rsidR="00971FBB" w:rsidRPr="00736AB5" w:rsidRDefault="00971FBB" w:rsidP="00D02162">
            <w:pPr>
              <w:jc w:val="center"/>
              <w:rPr>
                <w:rFonts w:asciiTheme="majorHAnsi" w:hAnsiTheme="majorHAnsi" w:cstheme="majorHAnsi"/>
                <w:sz w:val="16"/>
                <w:szCs w:val="16"/>
              </w:rPr>
            </w:pPr>
            <w:r w:rsidRPr="00736AB5">
              <w:rPr>
                <w:rFonts w:asciiTheme="majorHAnsi" w:hAnsiTheme="majorHAnsi" w:cstheme="majorHAnsi"/>
                <w:sz w:val="16"/>
                <w:szCs w:val="16"/>
              </w:rPr>
              <w:t>2013</w:t>
            </w:r>
          </w:p>
        </w:tc>
      </w:tr>
      <w:tr w:rsidR="00BB3A94" w:rsidRPr="001F5B61" w14:paraId="1C5DD443" w14:textId="77777777" w:rsidTr="00736AB5">
        <w:trPr>
          <w:cantSplit/>
          <w:trHeight w:val="206"/>
          <w:jc w:val="center"/>
        </w:trPr>
        <w:tc>
          <w:tcPr>
            <w:tcW w:w="720" w:type="dxa"/>
            <w:vAlign w:val="center"/>
          </w:tcPr>
          <w:p w14:paraId="68D0082A" w14:textId="35EBB32A" w:rsidR="00BB3A94" w:rsidRPr="00736AB5" w:rsidRDefault="00BB3A94" w:rsidP="00736AB5">
            <w:pPr>
              <w:rPr>
                <w:rFonts w:asciiTheme="majorHAnsi" w:hAnsiTheme="majorHAnsi" w:cstheme="majorHAnsi"/>
                <w:sz w:val="16"/>
                <w:szCs w:val="16"/>
              </w:rPr>
            </w:pPr>
            <w:r w:rsidRPr="00736AB5">
              <w:rPr>
                <w:rFonts w:asciiTheme="majorHAnsi" w:hAnsiTheme="majorHAnsi" w:cstheme="majorHAnsi"/>
                <w:sz w:val="16"/>
                <w:szCs w:val="16"/>
              </w:rPr>
              <w:t>ABQ* NM</w:t>
            </w:r>
          </w:p>
        </w:tc>
        <w:tc>
          <w:tcPr>
            <w:tcW w:w="1035" w:type="dxa"/>
            <w:vAlign w:val="center"/>
          </w:tcPr>
          <w:p w14:paraId="0FD63556" w14:textId="21C684D9" w:rsidR="00BB3A94" w:rsidRPr="00736AB5" w:rsidRDefault="00736AB5" w:rsidP="00736AB5">
            <w:pPr>
              <w:rPr>
                <w:rFonts w:asciiTheme="majorHAnsi" w:hAnsiTheme="majorHAnsi" w:cstheme="majorHAnsi"/>
                <w:sz w:val="16"/>
                <w:szCs w:val="16"/>
              </w:rPr>
            </w:pPr>
            <w:r>
              <w:rPr>
                <w:rFonts w:asciiTheme="majorHAnsi" w:hAnsiTheme="majorHAnsi" w:cstheme="majorHAnsi"/>
                <w:sz w:val="16"/>
                <w:szCs w:val="16"/>
              </w:rPr>
              <w:t>001</w:t>
            </w:r>
          </w:p>
        </w:tc>
        <w:tc>
          <w:tcPr>
            <w:tcW w:w="1080" w:type="dxa"/>
            <w:vAlign w:val="center"/>
          </w:tcPr>
          <w:p w14:paraId="27C8E44F" w14:textId="45D92E50" w:rsidR="00BB3A94" w:rsidRPr="00736AB5" w:rsidRDefault="00736AB5" w:rsidP="00736AB5">
            <w:pPr>
              <w:rPr>
                <w:rFonts w:asciiTheme="majorHAnsi" w:hAnsiTheme="majorHAnsi" w:cstheme="majorHAnsi"/>
                <w:sz w:val="16"/>
                <w:szCs w:val="16"/>
              </w:rPr>
            </w:pPr>
            <w:r w:rsidRPr="00736AB5">
              <w:rPr>
                <w:rFonts w:asciiTheme="majorHAnsi" w:hAnsiTheme="majorHAnsi" w:cstheme="majorHAnsi"/>
                <w:sz w:val="16"/>
                <w:szCs w:val="16"/>
              </w:rPr>
              <w:t>3500100008</w:t>
            </w:r>
          </w:p>
        </w:tc>
        <w:tc>
          <w:tcPr>
            <w:tcW w:w="5760" w:type="dxa"/>
            <w:vAlign w:val="center"/>
          </w:tcPr>
          <w:p w14:paraId="60EB69CA" w14:textId="339EEC6F" w:rsidR="00BB3A94" w:rsidRPr="00736AB5" w:rsidRDefault="00736AB5" w:rsidP="00736AB5">
            <w:pPr>
              <w:rPr>
                <w:rFonts w:asciiTheme="majorHAnsi" w:hAnsiTheme="majorHAnsi" w:cstheme="majorHAnsi"/>
                <w:sz w:val="16"/>
                <w:szCs w:val="16"/>
              </w:rPr>
            </w:pPr>
            <w:r w:rsidRPr="00736AB5">
              <w:rPr>
                <w:rFonts w:asciiTheme="majorHAnsi" w:hAnsiTheme="majorHAnsi" w:cstheme="majorHAnsi"/>
                <w:sz w:val="16"/>
                <w:szCs w:val="16"/>
              </w:rPr>
              <w:t>GCC Rio Grande Inc. - Portland Cement Manufacturer</w:t>
            </w:r>
          </w:p>
        </w:tc>
        <w:tc>
          <w:tcPr>
            <w:tcW w:w="1058" w:type="dxa"/>
            <w:vAlign w:val="center"/>
          </w:tcPr>
          <w:p w14:paraId="424641F9" w14:textId="72E13D08" w:rsidR="00BB3A94" w:rsidRPr="00736AB5" w:rsidRDefault="00736AB5" w:rsidP="00736AB5">
            <w:pPr>
              <w:jc w:val="center"/>
              <w:rPr>
                <w:rFonts w:asciiTheme="majorHAnsi" w:hAnsiTheme="majorHAnsi" w:cstheme="majorHAnsi"/>
                <w:sz w:val="16"/>
                <w:szCs w:val="16"/>
              </w:rPr>
            </w:pPr>
            <w:r>
              <w:rPr>
                <w:rFonts w:asciiTheme="majorHAnsi" w:hAnsiTheme="majorHAnsi" w:cstheme="majorHAnsi"/>
                <w:sz w:val="16"/>
                <w:szCs w:val="16"/>
              </w:rPr>
              <w:t>2018</w:t>
            </w:r>
          </w:p>
        </w:tc>
      </w:tr>
    </w:tbl>
    <w:p w14:paraId="233B6B8D" w14:textId="182E1674" w:rsidR="001D2B32" w:rsidRPr="005F018D" w:rsidRDefault="00BB3A94" w:rsidP="00BB3A94">
      <w:pPr>
        <w:spacing w:before="80"/>
        <w:ind w:left="360" w:hanging="360"/>
        <w:rPr>
          <w:rStyle w:val="WP9Hyperlink"/>
          <w:b/>
          <w:color w:val="000000"/>
          <w:u w:val="none"/>
        </w:rPr>
      </w:pPr>
      <w:r>
        <w:rPr>
          <w:rFonts w:asciiTheme="minorHAnsi" w:hAnsiTheme="minorHAnsi"/>
          <w:sz w:val="20"/>
        </w:rPr>
        <w:t>*</w:t>
      </w:r>
      <w:r>
        <w:rPr>
          <w:rFonts w:asciiTheme="minorHAnsi" w:hAnsiTheme="minorHAnsi"/>
          <w:sz w:val="20"/>
        </w:rPr>
        <w:tab/>
      </w:r>
      <w:r w:rsidRPr="00C90E4A">
        <w:rPr>
          <w:rFonts w:asciiTheme="minorHAnsi" w:hAnsiTheme="minorHAnsi"/>
          <w:sz w:val="20"/>
        </w:rPr>
        <w:t>ABQ NM</w:t>
      </w:r>
      <w:r w:rsidR="00E23900">
        <w:rPr>
          <w:rFonts w:asciiTheme="minorHAnsi" w:hAnsiTheme="minorHAnsi"/>
          <w:sz w:val="20"/>
        </w:rPr>
        <w:t xml:space="preserve"> is</w:t>
      </w:r>
      <w:r w:rsidRPr="00C90E4A">
        <w:rPr>
          <w:rFonts w:asciiTheme="minorHAnsi" w:hAnsiTheme="minorHAnsi"/>
          <w:sz w:val="20"/>
        </w:rPr>
        <w:t xml:space="preserve"> Albuquerque-Bernalillo County.</w:t>
      </w:r>
      <w:r w:rsidR="001D2B32" w:rsidRPr="005F018D">
        <w:rPr>
          <w:rStyle w:val="WP9Hyperlink"/>
          <w:b/>
          <w:color w:val="000000"/>
          <w:u w:val="none"/>
        </w:rPr>
        <w:br w:type="page"/>
      </w:r>
    </w:p>
    <w:p w14:paraId="3999D03F" w14:textId="77777777" w:rsidR="0099781D" w:rsidRPr="00B3026A" w:rsidRDefault="0099781D" w:rsidP="00B3026A">
      <w:pPr>
        <w:pStyle w:val="Caption"/>
        <w:spacing w:after="120"/>
        <w:jc w:val="center"/>
        <w:rPr>
          <w:rStyle w:val="WP9Hyperlink"/>
          <w:color w:val="auto"/>
          <w:u w:val="none"/>
        </w:rPr>
      </w:pPr>
      <w:r w:rsidRPr="00734D09">
        <w:rPr>
          <w:rStyle w:val="WP9Hyperlink"/>
          <w:color w:val="auto"/>
          <w:u w:val="none"/>
        </w:rPr>
        <w:lastRenderedPageBreak/>
        <w:t xml:space="preserve">Table B-2 </w:t>
      </w:r>
      <w:r w:rsidRPr="00734D09">
        <w:rPr>
          <w:rStyle w:val="WP9Hyperlink"/>
          <w:color w:val="auto"/>
          <w:u w:val="none"/>
        </w:rPr>
        <w:br/>
        <w:t>Sources Removed from the SO2 Emissions and Milestone Report Inventory</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720"/>
        <w:gridCol w:w="990"/>
        <w:gridCol w:w="1013"/>
        <w:gridCol w:w="2227"/>
        <w:gridCol w:w="1350"/>
        <w:gridCol w:w="2205"/>
        <w:gridCol w:w="990"/>
      </w:tblGrid>
      <w:tr w:rsidR="0099781D" w:rsidRPr="001F5B61" w14:paraId="2E173ADD" w14:textId="77777777" w:rsidTr="00736AB5">
        <w:trPr>
          <w:cantSplit/>
          <w:jc w:val="center"/>
        </w:trPr>
        <w:tc>
          <w:tcPr>
            <w:tcW w:w="720" w:type="dxa"/>
            <w:shd w:val="pct10" w:color="000000" w:fill="auto"/>
            <w:vAlign w:val="bottom"/>
          </w:tcPr>
          <w:p w14:paraId="5CD6DA6D" w14:textId="77777777" w:rsidR="0099781D" w:rsidRPr="00736AB5" w:rsidRDefault="0099781D">
            <w:pPr>
              <w:keepNext/>
              <w:jc w:val="center"/>
              <w:rPr>
                <w:rFonts w:asciiTheme="majorHAnsi" w:hAnsiTheme="majorHAnsi" w:cstheme="majorHAnsi"/>
                <w:b/>
                <w:sz w:val="18"/>
              </w:rPr>
            </w:pPr>
            <w:r w:rsidRPr="00736AB5">
              <w:rPr>
                <w:rFonts w:asciiTheme="majorHAnsi" w:hAnsiTheme="majorHAnsi" w:cstheme="majorHAnsi"/>
                <w:b/>
                <w:sz w:val="18"/>
              </w:rPr>
              <w:t>State</w:t>
            </w:r>
          </w:p>
        </w:tc>
        <w:tc>
          <w:tcPr>
            <w:tcW w:w="990" w:type="dxa"/>
            <w:shd w:val="pct10" w:color="000000" w:fill="auto"/>
            <w:vAlign w:val="bottom"/>
          </w:tcPr>
          <w:p w14:paraId="398663C3" w14:textId="77777777" w:rsidR="0099781D" w:rsidRPr="00736AB5" w:rsidRDefault="0099781D">
            <w:pPr>
              <w:keepNext/>
              <w:jc w:val="center"/>
              <w:rPr>
                <w:rFonts w:asciiTheme="majorHAnsi" w:hAnsiTheme="majorHAnsi" w:cstheme="majorHAnsi"/>
                <w:b/>
                <w:sz w:val="18"/>
              </w:rPr>
            </w:pPr>
            <w:r w:rsidRPr="00736AB5">
              <w:rPr>
                <w:rFonts w:asciiTheme="majorHAnsi" w:hAnsiTheme="majorHAnsi" w:cstheme="majorHAnsi"/>
                <w:b/>
                <w:sz w:val="18"/>
              </w:rPr>
              <w:t>County FIP Code</w:t>
            </w:r>
          </w:p>
        </w:tc>
        <w:tc>
          <w:tcPr>
            <w:tcW w:w="1013" w:type="dxa"/>
            <w:shd w:val="pct10" w:color="000000" w:fill="auto"/>
            <w:vAlign w:val="bottom"/>
          </w:tcPr>
          <w:p w14:paraId="73ADF359"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State Facility ID</w:t>
            </w:r>
          </w:p>
        </w:tc>
        <w:tc>
          <w:tcPr>
            <w:tcW w:w="2227" w:type="dxa"/>
            <w:shd w:val="pct10" w:color="000000" w:fill="auto"/>
            <w:vAlign w:val="bottom"/>
          </w:tcPr>
          <w:p w14:paraId="735D906B"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Facility Name</w:t>
            </w:r>
          </w:p>
        </w:tc>
        <w:tc>
          <w:tcPr>
            <w:tcW w:w="1350" w:type="dxa"/>
            <w:shd w:val="pct10" w:color="000000" w:fill="auto"/>
            <w:vAlign w:val="bottom"/>
          </w:tcPr>
          <w:p w14:paraId="677A5912"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1998 Baseline Emissions (tons/year)</w:t>
            </w:r>
          </w:p>
        </w:tc>
        <w:tc>
          <w:tcPr>
            <w:tcW w:w="2205" w:type="dxa"/>
            <w:shd w:val="pct10" w:color="000000" w:fill="auto"/>
            <w:vAlign w:val="bottom"/>
          </w:tcPr>
          <w:p w14:paraId="5BB7FFA6"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Reason for Change</w:t>
            </w:r>
          </w:p>
        </w:tc>
        <w:tc>
          <w:tcPr>
            <w:tcW w:w="990" w:type="dxa"/>
            <w:shd w:val="pct10" w:color="000000" w:fill="auto"/>
            <w:vAlign w:val="bottom"/>
          </w:tcPr>
          <w:p w14:paraId="3CD763AA" w14:textId="77777777" w:rsidR="0099781D" w:rsidRPr="00736AB5" w:rsidRDefault="0099781D">
            <w:pPr>
              <w:jc w:val="center"/>
              <w:rPr>
                <w:rFonts w:asciiTheme="majorHAnsi" w:hAnsiTheme="majorHAnsi" w:cstheme="majorHAnsi"/>
                <w:b/>
                <w:sz w:val="18"/>
              </w:rPr>
            </w:pPr>
            <w:r w:rsidRPr="00736AB5">
              <w:rPr>
                <w:rFonts w:asciiTheme="majorHAnsi" w:hAnsiTheme="majorHAnsi" w:cstheme="majorHAnsi"/>
                <w:b/>
                <w:sz w:val="18"/>
              </w:rPr>
              <w:t>Report Year of Change</w:t>
            </w:r>
          </w:p>
        </w:tc>
      </w:tr>
      <w:tr w:rsidR="0099781D" w:rsidRPr="001F5B61" w14:paraId="0B9E451B" w14:textId="77777777" w:rsidTr="00736AB5">
        <w:trPr>
          <w:cantSplit/>
          <w:trHeight w:val="845"/>
          <w:jc w:val="center"/>
        </w:trPr>
        <w:tc>
          <w:tcPr>
            <w:tcW w:w="720" w:type="dxa"/>
            <w:vAlign w:val="center"/>
          </w:tcPr>
          <w:p w14:paraId="4C39FC69"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679536F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043</w:t>
            </w:r>
          </w:p>
        </w:tc>
        <w:tc>
          <w:tcPr>
            <w:tcW w:w="1013" w:type="dxa"/>
            <w:vAlign w:val="center"/>
          </w:tcPr>
          <w:p w14:paraId="626A6E01"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0001</w:t>
            </w:r>
          </w:p>
        </w:tc>
        <w:tc>
          <w:tcPr>
            <w:tcW w:w="2227" w:type="dxa"/>
            <w:vAlign w:val="center"/>
          </w:tcPr>
          <w:p w14:paraId="280B191F"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Western Sugar Company -- Worland</w:t>
            </w:r>
          </w:p>
        </w:tc>
        <w:tc>
          <w:tcPr>
            <w:tcW w:w="1350" w:type="dxa"/>
            <w:vAlign w:val="center"/>
          </w:tcPr>
          <w:p w14:paraId="4CCF7E4C"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154</w:t>
            </w:r>
          </w:p>
        </w:tc>
        <w:tc>
          <w:tcPr>
            <w:tcW w:w="2205" w:type="dxa"/>
            <w:vAlign w:val="center"/>
          </w:tcPr>
          <w:p w14:paraId="4F2D00C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0C82A91C"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4E6F59C8" w14:textId="77777777" w:rsidTr="00736AB5">
        <w:trPr>
          <w:cantSplit/>
          <w:trHeight w:val="836"/>
          <w:jc w:val="center"/>
        </w:trPr>
        <w:tc>
          <w:tcPr>
            <w:tcW w:w="720" w:type="dxa"/>
            <w:vAlign w:val="center"/>
          </w:tcPr>
          <w:p w14:paraId="51CDDD8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61B91B4D"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155931D7"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0006</w:t>
            </w:r>
          </w:p>
        </w:tc>
        <w:tc>
          <w:tcPr>
            <w:tcW w:w="2227" w:type="dxa"/>
            <w:vAlign w:val="center"/>
          </w:tcPr>
          <w:p w14:paraId="19D9C8E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KCS Mountain Resources -- Golden Eagle</w:t>
            </w:r>
          </w:p>
        </w:tc>
        <w:tc>
          <w:tcPr>
            <w:tcW w:w="1350" w:type="dxa"/>
            <w:vAlign w:val="center"/>
          </w:tcPr>
          <w:p w14:paraId="52FDA19B"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942</w:t>
            </w:r>
          </w:p>
        </w:tc>
        <w:tc>
          <w:tcPr>
            <w:tcW w:w="2205" w:type="dxa"/>
            <w:vAlign w:val="center"/>
          </w:tcPr>
          <w:p w14:paraId="672DA706"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5D6D8AB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7E3C6B36" w14:textId="77777777" w:rsidTr="00736AB5">
        <w:trPr>
          <w:cantSplit/>
          <w:jc w:val="center"/>
        </w:trPr>
        <w:tc>
          <w:tcPr>
            <w:tcW w:w="720" w:type="dxa"/>
            <w:vAlign w:val="center"/>
          </w:tcPr>
          <w:p w14:paraId="20D43C8D"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0923C07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003</w:t>
            </w:r>
          </w:p>
        </w:tc>
        <w:tc>
          <w:tcPr>
            <w:tcW w:w="1013" w:type="dxa"/>
            <w:vAlign w:val="center"/>
          </w:tcPr>
          <w:p w14:paraId="3B9B8DDE"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0017</w:t>
            </w:r>
          </w:p>
        </w:tc>
        <w:tc>
          <w:tcPr>
            <w:tcW w:w="2227" w:type="dxa"/>
            <w:vAlign w:val="center"/>
          </w:tcPr>
          <w:p w14:paraId="599E420F"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KCS Mountain Resources -- Ainsworth</w:t>
            </w:r>
          </w:p>
        </w:tc>
        <w:tc>
          <w:tcPr>
            <w:tcW w:w="1350" w:type="dxa"/>
            <w:vAlign w:val="center"/>
          </w:tcPr>
          <w:p w14:paraId="27590D12"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845</w:t>
            </w:r>
          </w:p>
        </w:tc>
        <w:tc>
          <w:tcPr>
            <w:tcW w:w="2205" w:type="dxa"/>
            <w:vAlign w:val="center"/>
          </w:tcPr>
          <w:p w14:paraId="1E573A4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Closed since 2000.</w:t>
            </w:r>
          </w:p>
        </w:tc>
        <w:tc>
          <w:tcPr>
            <w:tcW w:w="990" w:type="dxa"/>
            <w:vAlign w:val="center"/>
          </w:tcPr>
          <w:p w14:paraId="1363FF0E"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53314119" w14:textId="77777777" w:rsidTr="00736AB5">
        <w:trPr>
          <w:cantSplit/>
          <w:jc w:val="center"/>
        </w:trPr>
        <w:tc>
          <w:tcPr>
            <w:tcW w:w="720" w:type="dxa"/>
            <w:vAlign w:val="center"/>
          </w:tcPr>
          <w:p w14:paraId="6EEA007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2221774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78E9BDB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0002</w:t>
            </w:r>
          </w:p>
        </w:tc>
        <w:tc>
          <w:tcPr>
            <w:tcW w:w="2227" w:type="dxa"/>
            <w:vAlign w:val="center"/>
          </w:tcPr>
          <w:p w14:paraId="3A2067BB"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Marathon Oil -- Mill Iron</w:t>
            </w:r>
          </w:p>
        </w:tc>
        <w:tc>
          <w:tcPr>
            <w:tcW w:w="1350" w:type="dxa"/>
            <w:vAlign w:val="center"/>
          </w:tcPr>
          <w:p w14:paraId="08383EC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260</w:t>
            </w:r>
          </w:p>
        </w:tc>
        <w:tc>
          <w:tcPr>
            <w:tcW w:w="2205" w:type="dxa"/>
            <w:vAlign w:val="center"/>
          </w:tcPr>
          <w:p w14:paraId="70CD744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Emissions did not meet 100 TPY program criteria.</w:t>
            </w:r>
          </w:p>
        </w:tc>
        <w:tc>
          <w:tcPr>
            <w:tcW w:w="990" w:type="dxa"/>
            <w:vAlign w:val="center"/>
          </w:tcPr>
          <w:p w14:paraId="14F341D5"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2003</w:t>
            </w:r>
          </w:p>
        </w:tc>
      </w:tr>
      <w:tr w:rsidR="0099781D" w:rsidRPr="001F5B61" w14:paraId="4B585735" w14:textId="77777777" w:rsidTr="00736AB5">
        <w:trPr>
          <w:cantSplit/>
          <w:jc w:val="center"/>
        </w:trPr>
        <w:tc>
          <w:tcPr>
            <w:tcW w:w="720" w:type="dxa"/>
            <w:vAlign w:val="center"/>
          </w:tcPr>
          <w:p w14:paraId="239B492E"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UT</w:t>
            </w:r>
          </w:p>
        </w:tc>
        <w:tc>
          <w:tcPr>
            <w:tcW w:w="990" w:type="dxa"/>
            <w:vAlign w:val="center"/>
          </w:tcPr>
          <w:p w14:paraId="17532F2C"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049</w:t>
            </w:r>
          </w:p>
        </w:tc>
        <w:tc>
          <w:tcPr>
            <w:tcW w:w="1013" w:type="dxa"/>
            <w:vAlign w:val="center"/>
          </w:tcPr>
          <w:p w14:paraId="6D456D12"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10796</w:t>
            </w:r>
          </w:p>
        </w:tc>
        <w:tc>
          <w:tcPr>
            <w:tcW w:w="2227" w:type="dxa"/>
            <w:vAlign w:val="center"/>
          </w:tcPr>
          <w:p w14:paraId="1B762D53" w14:textId="77777777" w:rsidR="0099781D" w:rsidRPr="00736AB5" w:rsidRDefault="0099781D" w:rsidP="001E7A18">
            <w:pPr>
              <w:keepNext/>
              <w:rPr>
                <w:rFonts w:asciiTheme="majorHAnsi" w:hAnsiTheme="majorHAnsi" w:cstheme="majorHAnsi"/>
                <w:sz w:val="16"/>
                <w:szCs w:val="16"/>
              </w:rPr>
            </w:pPr>
            <w:r w:rsidRPr="00736AB5">
              <w:rPr>
                <w:rFonts w:asciiTheme="majorHAnsi" w:hAnsiTheme="majorHAnsi" w:cstheme="majorHAnsi"/>
                <w:sz w:val="16"/>
                <w:szCs w:val="16"/>
              </w:rPr>
              <w:t xml:space="preserve">Geneva Steel -- </w:t>
            </w:r>
            <w:proofErr w:type="spellStart"/>
            <w:r w:rsidRPr="00736AB5">
              <w:rPr>
                <w:rFonts w:asciiTheme="majorHAnsi" w:hAnsiTheme="majorHAnsi" w:cstheme="majorHAnsi"/>
                <w:sz w:val="16"/>
                <w:szCs w:val="16"/>
              </w:rPr>
              <w:t>Steel</w:t>
            </w:r>
            <w:proofErr w:type="spellEnd"/>
            <w:r w:rsidRPr="00736AB5">
              <w:rPr>
                <w:rFonts w:asciiTheme="majorHAnsi" w:hAnsiTheme="majorHAnsi" w:cstheme="majorHAnsi"/>
                <w:sz w:val="16"/>
                <w:szCs w:val="16"/>
              </w:rPr>
              <w:t xml:space="preserve"> Manufacturing Facility</w:t>
            </w:r>
          </w:p>
        </w:tc>
        <w:tc>
          <w:tcPr>
            <w:tcW w:w="1350" w:type="dxa"/>
            <w:vAlign w:val="center"/>
          </w:tcPr>
          <w:p w14:paraId="1FB57E47"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881</w:t>
            </w:r>
          </w:p>
        </w:tc>
        <w:tc>
          <w:tcPr>
            <w:tcW w:w="2205" w:type="dxa"/>
            <w:vAlign w:val="center"/>
          </w:tcPr>
          <w:p w14:paraId="10BA3B51" w14:textId="77777777" w:rsidR="0099781D" w:rsidRPr="00736AB5" w:rsidRDefault="0099781D" w:rsidP="001E7A18">
            <w:pPr>
              <w:keepNext/>
              <w:rPr>
                <w:rFonts w:asciiTheme="majorHAnsi" w:hAnsiTheme="majorHAnsi" w:cstheme="majorHAnsi"/>
                <w:sz w:val="16"/>
                <w:szCs w:val="16"/>
              </w:rPr>
            </w:pPr>
            <w:r w:rsidRPr="00736AB5">
              <w:rPr>
                <w:rFonts w:asciiTheme="majorHAnsi" w:hAnsiTheme="majorHAnsi" w:cstheme="majorHAnsi"/>
                <w:sz w:val="16"/>
                <w:szCs w:val="16"/>
              </w:rPr>
              <w:t>Plant is shut down and disassembled.</w:t>
            </w:r>
          </w:p>
        </w:tc>
        <w:tc>
          <w:tcPr>
            <w:tcW w:w="990" w:type="dxa"/>
            <w:vAlign w:val="center"/>
          </w:tcPr>
          <w:p w14:paraId="53825DE1" w14:textId="77777777" w:rsidR="0099781D" w:rsidRPr="00736AB5" w:rsidRDefault="0099781D" w:rsidP="001E7A18">
            <w:pPr>
              <w:keepNext/>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019D8EC6" w14:textId="77777777" w:rsidTr="00736AB5">
        <w:trPr>
          <w:cantSplit/>
          <w:trHeight w:val="512"/>
          <w:jc w:val="center"/>
        </w:trPr>
        <w:tc>
          <w:tcPr>
            <w:tcW w:w="720" w:type="dxa"/>
            <w:vAlign w:val="center"/>
          </w:tcPr>
          <w:p w14:paraId="17165743"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4F1E51FF"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023</w:t>
            </w:r>
          </w:p>
        </w:tc>
        <w:tc>
          <w:tcPr>
            <w:tcW w:w="1013" w:type="dxa"/>
            <w:vAlign w:val="center"/>
          </w:tcPr>
          <w:p w14:paraId="593C875D"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0001</w:t>
            </w:r>
          </w:p>
        </w:tc>
        <w:tc>
          <w:tcPr>
            <w:tcW w:w="2227" w:type="dxa"/>
            <w:vAlign w:val="center"/>
          </w:tcPr>
          <w:p w14:paraId="0221F1ED" w14:textId="77777777" w:rsidR="0099781D" w:rsidRPr="00736AB5" w:rsidRDefault="0099781D" w:rsidP="001E7A18">
            <w:pPr>
              <w:rPr>
                <w:rFonts w:asciiTheme="majorHAnsi" w:hAnsiTheme="majorHAnsi" w:cstheme="majorHAnsi"/>
                <w:sz w:val="16"/>
                <w:szCs w:val="16"/>
              </w:rPr>
            </w:pPr>
            <w:proofErr w:type="spellStart"/>
            <w:r w:rsidRPr="00736AB5">
              <w:rPr>
                <w:rFonts w:asciiTheme="majorHAnsi" w:hAnsiTheme="majorHAnsi" w:cstheme="majorHAnsi"/>
                <w:sz w:val="16"/>
                <w:szCs w:val="16"/>
              </w:rPr>
              <w:t>Astaris</w:t>
            </w:r>
            <w:proofErr w:type="spellEnd"/>
            <w:r w:rsidRPr="00736AB5">
              <w:rPr>
                <w:rFonts w:asciiTheme="majorHAnsi" w:hAnsiTheme="majorHAnsi" w:cstheme="majorHAnsi"/>
                <w:sz w:val="16"/>
                <w:szCs w:val="16"/>
              </w:rPr>
              <w:t xml:space="preserve"> Production -- Coking Plant</w:t>
            </w:r>
          </w:p>
        </w:tc>
        <w:tc>
          <w:tcPr>
            <w:tcW w:w="1350" w:type="dxa"/>
            <w:vAlign w:val="center"/>
          </w:tcPr>
          <w:p w14:paraId="6B4ABD3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1,454</w:t>
            </w:r>
          </w:p>
        </w:tc>
        <w:tc>
          <w:tcPr>
            <w:tcW w:w="2205" w:type="dxa"/>
            <w:vAlign w:val="center"/>
          </w:tcPr>
          <w:p w14:paraId="2D4A59C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Plant is permanently shut down and dismantled.</w:t>
            </w:r>
          </w:p>
        </w:tc>
        <w:tc>
          <w:tcPr>
            <w:tcW w:w="990" w:type="dxa"/>
            <w:vAlign w:val="center"/>
          </w:tcPr>
          <w:p w14:paraId="1861F916"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2004</w:t>
            </w:r>
          </w:p>
        </w:tc>
      </w:tr>
      <w:tr w:rsidR="0099781D" w:rsidRPr="001F5B61" w14:paraId="1270D38D" w14:textId="77777777" w:rsidTr="00736AB5">
        <w:trPr>
          <w:cantSplit/>
          <w:jc w:val="center"/>
        </w:trPr>
        <w:tc>
          <w:tcPr>
            <w:tcW w:w="720" w:type="dxa"/>
            <w:vAlign w:val="center"/>
          </w:tcPr>
          <w:p w14:paraId="2A8FEFCD" w14:textId="116835F8" w:rsidR="0099781D" w:rsidRPr="00736AB5" w:rsidRDefault="00FC563A" w:rsidP="001E7A18">
            <w:pPr>
              <w:rPr>
                <w:rFonts w:asciiTheme="majorHAnsi" w:hAnsiTheme="majorHAnsi" w:cstheme="majorHAnsi"/>
                <w:sz w:val="16"/>
                <w:szCs w:val="16"/>
              </w:rPr>
            </w:pPr>
            <w:r w:rsidRPr="00736AB5">
              <w:rPr>
                <w:rFonts w:asciiTheme="majorHAnsi" w:hAnsiTheme="majorHAnsi" w:cstheme="majorHAnsi"/>
                <w:sz w:val="16"/>
                <w:szCs w:val="16"/>
              </w:rPr>
              <w:t>ABQ</w:t>
            </w:r>
            <w:r w:rsidR="00D509BC">
              <w:rPr>
                <w:rFonts w:asciiTheme="majorHAnsi" w:hAnsiTheme="majorHAnsi" w:cstheme="majorHAnsi"/>
                <w:sz w:val="16"/>
                <w:szCs w:val="16"/>
              </w:rPr>
              <w:t>*</w:t>
            </w:r>
            <w:r w:rsidRPr="00736AB5">
              <w:rPr>
                <w:rFonts w:asciiTheme="majorHAnsi" w:hAnsiTheme="majorHAnsi" w:cstheme="majorHAnsi"/>
                <w:sz w:val="16"/>
                <w:szCs w:val="16"/>
              </w:rPr>
              <w:t xml:space="preserve"> </w:t>
            </w:r>
            <w:r w:rsidR="0099781D" w:rsidRPr="00736AB5">
              <w:rPr>
                <w:rFonts w:asciiTheme="majorHAnsi" w:hAnsiTheme="majorHAnsi" w:cstheme="majorHAnsi"/>
                <w:sz w:val="16"/>
                <w:szCs w:val="16"/>
              </w:rPr>
              <w:t>NM</w:t>
            </w:r>
          </w:p>
        </w:tc>
        <w:tc>
          <w:tcPr>
            <w:tcW w:w="990" w:type="dxa"/>
            <w:vAlign w:val="center"/>
          </w:tcPr>
          <w:p w14:paraId="6EEF64C9"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w:t>
            </w:r>
          </w:p>
        </w:tc>
        <w:tc>
          <w:tcPr>
            <w:tcW w:w="1013" w:type="dxa"/>
            <w:vAlign w:val="center"/>
          </w:tcPr>
          <w:p w14:paraId="70FA60A3"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00145</w:t>
            </w:r>
          </w:p>
        </w:tc>
        <w:tc>
          <w:tcPr>
            <w:tcW w:w="2227" w:type="dxa"/>
            <w:vAlign w:val="center"/>
          </w:tcPr>
          <w:p w14:paraId="505A4387"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Southside Water Reclamation Plant</w:t>
            </w:r>
          </w:p>
        </w:tc>
        <w:tc>
          <w:tcPr>
            <w:tcW w:w="1350" w:type="dxa"/>
            <w:vAlign w:val="center"/>
          </w:tcPr>
          <w:p w14:paraId="31DD64B1"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120</w:t>
            </w:r>
          </w:p>
        </w:tc>
        <w:tc>
          <w:tcPr>
            <w:tcW w:w="2205" w:type="dxa"/>
            <w:vAlign w:val="center"/>
          </w:tcPr>
          <w:p w14:paraId="156C9B31" w14:textId="0F33D555"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 xml:space="preserve">Not subject to program after baseline </w:t>
            </w:r>
            <w:r w:rsidR="002C5E05" w:rsidRPr="00736AB5">
              <w:rPr>
                <w:rFonts w:asciiTheme="majorHAnsi" w:hAnsiTheme="majorHAnsi" w:cstheme="majorHAnsi"/>
                <w:sz w:val="16"/>
                <w:szCs w:val="16"/>
              </w:rPr>
              <w:t>revisions. *</w:t>
            </w:r>
            <w:r w:rsidR="00FC563A" w:rsidRPr="00736AB5">
              <w:rPr>
                <w:rFonts w:asciiTheme="majorHAnsi" w:hAnsiTheme="majorHAnsi" w:cstheme="majorHAnsi"/>
                <w:sz w:val="16"/>
                <w:szCs w:val="16"/>
              </w:rPr>
              <w:t>*</w:t>
            </w:r>
          </w:p>
        </w:tc>
        <w:tc>
          <w:tcPr>
            <w:tcW w:w="990" w:type="dxa"/>
            <w:vAlign w:val="center"/>
          </w:tcPr>
          <w:p w14:paraId="028A65D2"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99781D" w:rsidRPr="001F5B61" w14:paraId="27B31E65" w14:textId="77777777" w:rsidTr="00736AB5">
        <w:trPr>
          <w:cantSplit/>
          <w:jc w:val="center"/>
        </w:trPr>
        <w:tc>
          <w:tcPr>
            <w:tcW w:w="720" w:type="dxa"/>
            <w:vAlign w:val="center"/>
          </w:tcPr>
          <w:p w14:paraId="0D708CC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NM</w:t>
            </w:r>
          </w:p>
        </w:tc>
        <w:tc>
          <w:tcPr>
            <w:tcW w:w="990" w:type="dxa"/>
            <w:vAlign w:val="center"/>
          </w:tcPr>
          <w:p w14:paraId="31D5CD3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023</w:t>
            </w:r>
          </w:p>
        </w:tc>
        <w:tc>
          <w:tcPr>
            <w:tcW w:w="1013" w:type="dxa"/>
            <w:vAlign w:val="center"/>
          </w:tcPr>
          <w:p w14:paraId="722E9AC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350230003</w:t>
            </w:r>
          </w:p>
        </w:tc>
        <w:tc>
          <w:tcPr>
            <w:tcW w:w="2227" w:type="dxa"/>
            <w:vAlign w:val="center"/>
          </w:tcPr>
          <w:p w14:paraId="00F4E8C4"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Phelps Dodge Hidalgo Smelter</w:t>
            </w:r>
          </w:p>
        </w:tc>
        <w:tc>
          <w:tcPr>
            <w:tcW w:w="1350" w:type="dxa"/>
            <w:vAlign w:val="center"/>
          </w:tcPr>
          <w:p w14:paraId="4E924F4A"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16,000</w:t>
            </w:r>
          </w:p>
        </w:tc>
        <w:tc>
          <w:tcPr>
            <w:tcW w:w="2205" w:type="dxa"/>
            <w:vAlign w:val="center"/>
          </w:tcPr>
          <w:p w14:paraId="5DF8AA8A"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p>
        </w:tc>
        <w:tc>
          <w:tcPr>
            <w:tcW w:w="990" w:type="dxa"/>
            <w:vAlign w:val="center"/>
          </w:tcPr>
          <w:p w14:paraId="27B36193"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99781D" w:rsidRPr="001F5B61" w14:paraId="3D7CE503" w14:textId="77777777" w:rsidTr="00736AB5">
        <w:trPr>
          <w:cantSplit/>
          <w:jc w:val="center"/>
        </w:trPr>
        <w:tc>
          <w:tcPr>
            <w:tcW w:w="720" w:type="dxa"/>
            <w:vAlign w:val="center"/>
          </w:tcPr>
          <w:p w14:paraId="1DA1C1F0"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NM</w:t>
            </w:r>
          </w:p>
        </w:tc>
        <w:tc>
          <w:tcPr>
            <w:tcW w:w="990" w:type="dxa"/>
            <w:vAlign w:val="center"/>
          </w:tcPr>
          <w:p w14:paraId="6199E555"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017</w:t>
            </w:r>
          </w:p>
        </w:tc>
        <w:tc>
          <w:tcPr>
            <w:tcW w:w="1013" w:type="dxa"/>
            <w:vAlign w:val="center"/>
          </w:tcPr>
          <w:p w14:paraId="67FFE337"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350170001</w:t>
            </w:r>
          </w:p>
        </w:tc>
        <w:tc>
          <w:tcPr>
            <w:tcW w:w="2227" w:type="dxa"/>
            <w:vAlign w:val="center"/>
          </w:tcPr>
          <w:p w14:paraId="5EBCA00D"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Phelps Dodge Hurley Smelter/Concentrator</w:t>
            </w:r>
          </w:p>
        </w:tc>
        <w:tc>
          <w:tcPr>
            <w:tcW w:w="1350" w:type="dxa"/>
            <w:vAlign w:val="center"/>
          </w:tcPr>
          <w:p w14:paraId="0555023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22,000</w:t>
            </w:r>
          </w:p>
        </w:tc>
        <w:tc>
          <w:tcPr>
            <w:tcW w:w="2205" w:type="dxa"/>
            <w:vAlign w:val="center"/>
          </w:tcPr>
          <w:p w14:paraId="2942DC9C" w14:textId="77777777" w:rsidR="0099781D" w:rsidRPr="00736AB5" w:rsidRDefault="0099781D"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p>
        </w:tc>
        <w:tc>
          <w:tcPr>
            <w:tcW w:w="990" w:type="dxa"/>
            <w:vAlign w:val="center"/>
          </w:tcPr>
          <w:p w14:paraId="05162458" w14:textId="77777777" w:rsidR="0099781D" w:rsidRPr="00736AB5" w:rsidRDefault="0099781D" w:rsidP="001E7A18">
            <w:pPr>
              <w:jc w:val="center"/>
              <w:rPr>
                <w:rFonts w:asciiTheme="majorHAnsi" w:hAnsiTheme="majorHAnsi" w:cstheme="majorHAnsi"/>
                <w:sz w:val="16"/>
                <w:szCs w:val="16"/>
              </w:rPr>
            </w:pPr>
            <w:r w:rsidRPr="00736AB5">
              <w:rPr>
                <w:rFonts w:asciiTheme="majorHAnsi" w:hAnsiTheme="majorHAnsi" w:cstheme="majorHAnsi"/>
                <w:sz w:val="16"/>
                <w:szCs w:val="16"/>
              </w:rPr>
              <w:t>2008</w:t>
            </w:r>
          </w:p>
        </w:tc>
      </w:tr>
      <w:tr w:rsidR="008C6D29" w:rsidRPr="001F5B61" w14:paraId="3E2E03C3" w14:textId="77777777" w:rsidTr="00736AB5">
        <w:trPr>
          <w:cantSplit/>
          <w:jc w:val="center"/>
        </w:trPr>
        <w:tc>
          <w:tcPr>
            <w:tcW w:w="720" w:type="dxa"/>
            <w:vAlign w:val="center"/>
          </w:tcPr>
          <w:p w14:paraId="7B6A81E6"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WY</w:t>
            </w:r>
          </w:p>
        </w:tc>
        <w:tc>
          <w:tcPr>
            <w:tcW w:w="990" w:type="dxa"/>
            <w:vAlign w:val="center"/>
          </w:tcPr>
          <w:p w14:paraId="40063E47"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003</w:t>
            </w:r>
          </w:p>
        </w:tc>
        <w:tc>
          <w:tcPr>
            <w:tcW w:w="1013" w:type="dxa"/>
            <w:vAlign w:val="center"/>
          </w:tcPr>
          <w:p w14:paraId="4A900F05"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00012</w:t>
            </w:r>
          </w:p>
        </w:tc>
        <w:tc>
          <w:tcPr>
            <w:tcW w:w="2227" w:type="dxa"/>
            <w:vAlign w:val="center"/>
          </w:tcPr>
          <w:p w14:paraId="139D1BDE"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Big Horn Gas Processing – Bighorn/Byron Gas Plant</w:t>
            </w:r>
          </w:p>
        </w:tc>
        <w:tc>
          <w:tcPr>
            <w:tcW w:w="1350" w:type="dxa"/>
            <w:vAlign w:val="center"/>
          </w:tcPr>
          <w:p w14:paraId="0D42E074"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605</w:t>
            </w:r>
          </w:p>
        </w:tc>
        <w:tc>
          <w:tcPr>
            <w:tcW w:w="2205" w:type="dxa"/>
            <w:vAlign w:val="center"/>
          </w:tcPr>
          <w:p w14:paraId="59A97C95" w14:textId="77777777" w:rsidR="008C6D29" w:rsidRPr="00736AB5" w:rsidRDefault="008C6D29" w:rsidP="001E7A18">
            <w:pPr>
              <w:rPr>
                <w:rFonts w:asciiTheme="majorHAnsi" w:hAnsiTheme="majorHAnsi" w:cstheme="majorHAnsi"/>
                <w:sz w:val="16"/>
                <w:szCs w:val="16"/>
              </w:rPr>
            </w:pPr>
            <w:r w:rsidRPr="00736AB5">
              <w:rPr>
                <w:rFonts w:asciiTheme="majorHAnsi" w:hAnsiTheme="majorHAnsi" w:cstheme="majorHAnsi"/>
                <w:sz w:val="16"/>
                <w:szCs w:val="16"/>
              </w:rPr>
              <w:t>Facility is permanently closed</w:t>
            </w:r>
            <w:r w:rsidR="00FC685B" w:rsidRPr="00736AB5">
              <w:rPr>
                <w:rFonts w:asciiTheme="majorHAnsi" w:hAnsiTheme="majorHAnsi" w:cstheme="majorHAnsi"/>
                <w:sz w:val="16"/>
                <w:szCs w:val="16"/>
              </w:rPr>
              <w:t xml:space="preserve"> and dismantled</w:t>
            </w:r>
            <w:r w:rsidRPr="00736AB5">
              <w:rPr>
                <w:rFonts w:asciiTheme="majorHAnsi" w:hAnsiTheme="majorHAnsi" w:cstheme="majorHAnsi"/>
                <w:sz w:val="16"/>
                <w:szCs w:val="16"/>
              </w:rPr>
              <w:t>.</w:t>
            </w:r>
          </w:p>
        </w:tc>
        <w:tc>
          <w:tcPr>
            <w:tcW w:w="990" w:type="dxa"/>
            <w:vAlign w:val="center"/>
          </w:tcPr>
          <w:p w14:paraId="561D540B" w14:textId="77777777" w:rsidR="008C6D29" w:rsidRPr="00736AB5" w:rsidRDefault="008C6D29" w:rsidP="001E7A18">
            <w:pPr>
              <w:jc w:val="center"/>
              <w:rPr>
                <w:rFonts w:asciiTheme="majorHAnsi" w:hAnsiTheme="majorHAnsi" w:cstheme="majorHAnsi"/>
                <w:sz w:val="16"/>
                <w:szCs w:val="16"/>
              </w:rPr>
            </w:pPr>
            <w:r w:rsidRPr="00736AB5">
              <w:rPr>
                <w:rFonts w:asciiTheme="majorHAnsi" w:hAnsiTheme="majorHAnsi" w:cstheme="majorHAnsi"/>
                <w:sz w:val="16"/>
                <w:szCs w:val="16"/>
              </w:rPr>
              <w:t>2011</w:t>
            </w:r>
          </w:p>
        </w:tc>
      </w:tr>
    </w:tbl>
    <w:p w14:paraId="06531A8C" w14:textId="77777777" w:rsidR="0099781D" w:rsidRPr="005F018D" w:rsidRDefault="0099781D">
      <w:pPr>
        <w:rPr>
          <w:sz w:val="20"/>
        </w:rPr>
      </w:pPr>
    </w:p>
    <w:p w14:paraId="3D2E2402" w14:textId="41DDB18A" w:rsidR="00FE0177" w:rsidRPr="00C90E4A" w:rsidRDefault="00FE0177" w:rsidP="00FC563A">
      <w:pPr>
        <w:tabs>
          <w:tab w:val="left" w:pos="360"/>
        </w:tabs>
        <w:ind w:left="360" w:hanging="360"/>
        <w:rPr>
          <w:rFonts w:asciiTheme="minorHAnsi" w:hAnsiTheme="minorHAnsi"/>
          <w:sz w:val="20"/>
        </w:rPr>
      </w:pPr>
      <w:r w:rsidRPr="00C90E4A">
        <w:rPr>
          <w:rFonts w:asciiTheme="minorHAnsi" w:hAnsiTheme="minorHAnsi"/>
          <w:sz w:val="20"/>
        </w:rPr>
        <w:t>*</w:t>
      </w:r>
      <w:r w:rsidRPr="00C90E4A">
        <w:rPr>
          <w:rFonts w:asciiTheme="minorHAnsi" w:hAnsiTheme="minorHAnsi"/>
          <w:sz w:val="20"/>
        </w:rPr>
        <w:tab/>
        <w:t xml:space="preserve">ABQ NM </w:t>
      </w:r>
      <w:r w:rsidR="00977DD5">
        <w:rPr>
          <w:rFonts w:asciiTheme="minorHAnsi" w:hAnsiTheme="minorHAnsi"/>
          <w:sz w:val="20"/>
        </w:rPr>
        <w:t>in</w:t>
      </w:r>
      <w:r w:rsidRPr="00C90E4A">
        <w:rPr>
          <w:rFonts w:asciiTheme="minorHAnsi" w:hAnsiTheme="minorHAnsi"/>
          <w:sz w:val="20"/>
        </w:rPr>
        <w:t xml:space="preserve"> </w:t>
      </w:r>
      <w:r w:rsidR="00D15790" w:rsidRPr="00C90E4A">
        <w:rPr>
          <w:rFonts w:asciiTheme="minorHAnsi" w:hAnsiTheme="minorHAnsi"/>
          <w:sz w:val="20"/>
        </w:rPr>
        <w:t>Albuquerque-Bernalillo County</w:t>
      </w:r>
      <w:r w:rsidRPr="00C90E4A">
        <w:rPr>
          <w:rFonts w:asciiTheme="minorHAnsi" w:hAnsiTheme="minorHAnsi"/>
          <w:sz w:val="20"/>
        </w:rPr>
        <w:t>.</w:t>
      </w:r>
    </w:p>
    <w:p w14:paraId="2AA786A9" w14:textId="23876F86" w:rsidR="00086FE0" w:rsidRDefault="0099781D" w:rsidP="00E70983">
      <w:pPr>
        <w:tabs>
          <w:tab w:val="left" w:pos="360"/>
        </w:tabs>
        <w:ind w:left="360" w:hanging="360"/>
        <w:rPr>
          <w:rFonts w:asciiTheme="minorHAnsi" w:hAnsiTheme="minorHAnsi"/>
          <w:sz w:val="20"/>
        </w:rPr>
      </w:pPr>
      <w:r w:rsidRPr="00C90E4A">
        <w:rPr>
          <w:rFonts w:asciiTheme="minorHAnsi" w:hAnsiTheme="minorHAnsi"/>
          <w:sz w:val="20"/>
        </w:rPr>
        <w:t>*</w:t>
      </w:r>
      <w:r w:rsidR="00FC563A" w:rsidRPr="00C90E4A">
        <w:rPr>
          <w:rFonts w:asciiTheme="minorHAnsi" w:hAnsiTheme="minorHAnsi"/>
          <w:sz w:val="20"/>
        </w:rPr>
        <w:t>*</w:t>
      </w:r>
      <w:r w:rsidR="003B6445">
        <w:rPr>
          <w:rFonts w:asciiTheme="minorHAnsi" w:hAnsiTheme="minorHAnsi"/>
          <w:sz w:val="20"/>
        </w:rPr>
        <w:tab/>
      </w:r>
      <w:r w:rsidRPr="00C90E4A">
        <w:rPr>
          <w:rFonts w:asciiTheme="minorHAnsi" w:hAnsiTheme="minorHAnsi"/>
          <w:sz w:val="20"/>
        </w:rPr>
        <w:t>1998 baseline emissions were based on the facilities' potential to emit (PTE), and not actual emissions.</w:t>
      </w:r>
      <w:r w:rsidR="00BB5AF4" w:rsidRPr="00C90E4A">
        <w:rPr>
          <w:rFonts w:asciiTheme="minorHAnsi" w:hAnsiTheme="minorHAnsi"/>
          <w:sz w:val="20"/>
        </w:rPr>
        <w:t xml:space="preserve"> </w:t>
      </w:r>
      <w:r w:rsidRPr="00C90E4A">
        <w:rPr>
          <w:rFonts w:asciiTheme="minorHAnsi" w:hAnsiTheme="minorHAnsi"/>
          <w:sz w:val="20"/>
        </w:rPr>
        <w:t>Actual annual emissions have always been below 100 tons.</w:t>
      </w:r>
      <w:r w:rsidR="00BB5AF4" w:rsidRPr="00C90E4A">
        <w:rPr>
          <w:rFonts w:asciiTheme="minorHAnsi" w:hAnsiTheme="minorHAnsi"/>
          <w:sz w:val="20"/>
        </w:rPr>
        <w:t xml:space="preserve"> </w:t>
      </w:r>
      <w:r w:rsidRPr="00C90E4A">
        <w:rPr>
          <w:rFonts w:asciiTheme="minorHAnsi" w:hAnsiTheme="minorHAnsi"/>
          <w:sz w:val="20"/>
        </w:rPr>
        <w:t>Once the year 2006 baseline became effective, th</w:t>
      </w:r>
      <w:r w:rsidR="002E3244">
        <w:rPr>
          <w:rFonts w:asciiTheme="minorHAnsi" w:hAnsiTheme="minorHAnsi"/>
          <w:sz w:val="20"/>
        </w:rPr>
        <w:t>is</w:t>
      </w:r>
      <w:r w:rsidRPr="00C90E4A">
        <w:rPr>
          <w:rFonts w:asciiTheme="minorHAnsi" w:hAnsiTheme="minorHAnsi"/>
          <w:sz w:val="20"/>
        </w:rPr>
        <w:t xml:space="preserve"> facilit</w:t>
      </w:r>
      <w:r w:rsidR="002E3244">
        <w:rPr>
          <w:rFonts w:asciiTheme="minorHAnsi" w:hAnsiTheme="minorHAnsi"/>
          <w:sz w:val="20"/>
        </w:rPr>
        <w:t>y</w:t>
      </w:r>
      <w:r w:rsidRPr="00C90E4A">
        <w:rPr>
          <w:rFonts w:asciiTheme="minorHAnsi" w:hAnsiTheme="minorHAnsi"/>
          <w:sz w:val="20"/>
        </w:rPr>
        <w:t xml:space="preserve"> w</w:t>
      </w:r>
      <w:r w:rsidR="002E3244">
        <w:rPr>
          <w:rFonts w:asciiTheme="minorHAnsi" w:hAnsiTheme="minorHAnsi"/>
          <w:sz w:val="20"/>
        </w:rPr>
        <w:t>as</w:t>
      </w:r>
      <w:r w:rsidRPr="00C90E4A">
        <w:rPr>
          <w:rFonts w:asciiTheme="minorHAnsi" w:hAnsiTheme="minorHAnsi"/>
          <w:sz w:val="20"/>
        </w:rPr>
        <w:t xml:space="preserve"> removed from the inventory.</w:t>
      </w:r>
    </w:p>
    <w:p w14:paraId="740E4499" w14:textId="77777777" w:rsidR="00E70983" w:rsidRPr="00E70983" w:rsidRDefault="00E70983" w:rsidP="00E70983">
      <w:pPr>
        <w:tabs>
          <w:tab w:val="left" w:pos="360"/>
        </w:tabs>
        <w:ind w:left="360" w:hanging="360"/>
        <w:rPr>
          <w:rFonts w:asciiTheme="minorHAnsi" w:hAnsiTheme="minorHAnsi"/>
          <w:sz w:val="20"/>
        </w:rPr>
      </w:pPr>
    </w:p>
    <w:sectPr w:rsidR="00E70983" w:rsidRPr="00E70983" w:rsidSect="00CD1084">
      <w:headerReference w:type="even" r:id="rId35"/>
      <w:headerReference w:type="default" r:id="rId36"/>
      <w:footerReference w:type="default" r:id="rId37"/>
      <w:headerReference w:type="first" r:id="rId38"/>
      <w:pgSz w:w="12240" w:h="15840"/>
      <w:pgMar w:top="1440" w:right="1260" w:bottom="1440" w:left="153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F0ED8" w14:textId="77777777" w:rsidR="00432A8D" w:rsidRDefault="00432A8D">
      <w:r>
        <w:separator/>
      </w:r>
    </w:p>
  </w:endnote>
  <w:endnote w:type="continuationSeparator" w:id="0">
    <w:p w14:paraId="320E0046" w14:textId="77777777" w:rsidR="00432A8D" w:rsidRDefault="00432A8D">
      <w:r>
        <w:continuationSeparator/>
      </w:r>
    </w:p>
  </w:endnote>
  <w:endnote w:type="continuationNotice" w:id="1">
    <w:p w14:paraId="0BEFC9F3" w14:textId="77777777" w:rsidR="00432A8D" w:rsidRDefault="00432A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P TypographicSymbols">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6CD9" w14:textId="77777777" w:rsidR="004C1293" w:rsidRDefault="004C12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BBAEE7" w14:textId="77777777" w:rsidR="004C1293" w:rsidRDefault="004C12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9A866" w14:textId="77777777" w:rsidR="004C1293" w:rsidRDefault="004C1293">
    <w:pPr>
      <w:pStyle w:val="Footer"/>
    </w:pPr>
  </w:p>
  <w:p w14:paraId="08EE37B6" w14:textId="77777777" w:rsidR="004C1293" w:rsidRDefault="004C129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F010" w14:textId="77777777" w:rsidR="000F429B" w:rsidRDefault="000F42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128E9" w14:textId="77777777" w:rsidR="004C1293" w:rsidRDefault="004C1293">
    <w:pPr>
      <w:pStyle w:val="Footer"/>
    </w:pPr>
  </w:p>
  <w:p w14:paraId="4DDB3F39" w14:textId="77777777" w:rsidR="004C1293" w:rsidRPr="009032C6" w:rsidRDefault="004C1293">
    <w:pPr>
      <w:pStyle w:val="Footer"/>
      <w:jc w:val="center"/>
      <w:rPr>
        <w:rFonts w:asciiTheme="majorHAnsi" w:hAnsiTheme="majorHAnsi" w:cstheme="majorHAnsi"/>
        <w:sz w:val="20"/>
      </w:rPr>
    </w:pPr>
    <w:r w:rsidRPr="009032C6">
      <w:rPr>
        <w:rStyle w:val="PageNumber"/>
        <w:rFonts w:asciiTheme="majorHAnsi" w:hAnsiTheme="majorHAnsi" w:cstheme="majorHAnsi"/>
        <w:sz w:val="20"/>
      </w:rPr>
      <w:t>ES-</w:t>
    </w:r>
    <w:r w:rsidRPr="009032C6">
      <w:rPr>
        <w:rStyle w:val="PageNumber"/>
        <w:rFonts w:asciiTheme="majorHAnsi" w:hAnsiTheme="majorHAnsi" w:cstheme="majorHAnsi"/>
        <w:sz w:val="20"/>
      </w:rPr>
      <w:fldChar w:fldCharType="begin"/>
    </w:r>
    <w:r w:rsidRPr="009032C6">
      <w:rPr>
        <w:rStyle w:val="PageNumber"/>
        <w:rFonts w:asciiTheme="majorHAnsi" w:hAnsiTheme="majorHAnsi" w:cstheme="majorHAnsi"/>
        <w:sz w:val="20"/>
      </w:rPr>
      <w:instrText xml:space="preserve"> PAGE </w:instrText>
    </w:r>
    <w:r w:rsidRPr="009032C6">
      <w:rPr>
        <w:rStyle w:val="PageNumber"/>
        <w:rFonts w:asciiTheme="majorHAnsi" w:hAnsiTheme="majorHAnsi" w:cstheme="majorHAnsi"/>
        <w:sz w:val="20"/>
      </w:rPr>
      <w:fldChar w:fldCharType="separate"/>
    </w:r>
    <w:r>
      <w:rPr>
        <w:rStyle w:val="PageNumber"/>
        <w:rFonts w:asciiTheme="majorHAnsi" w:hAnsiTheme="majorHAnsi" w:cstheme="majorHAnsi"/>
        <w:noProof/>
        <w:sz w:val="20"/>
      </w:rPr>
      <w:t>2</w:t>
    </w:r>
    <w:r w:rsidRPr="009032C6">
      <w:rPr>
        <w:rStyle w:val="PageNumber"/>
        <w:rFonts w:asciiTheme="majorHAnsi" w:hAnsiTheme="majorHAnsi" w:cstheme="majorHAns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6504" w14:textId="77777777" w:rsidR="004C1293" w:rsidRDefault="004C12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3992" w14:textId="77777777" w:rsidR="004C1293" w:rsidRPr="009032C6" w:rsidRDefault="004C1293" w:rsidP="009032C6">
    <w:pPr>
      <w:pStyle w:val="Footer"/>
      <w:tabs>
        <w:tab w:val="clear" w:pos="4320"/>
      </w:tabs>
      <w:jc w:val="center"/>
      <w:rPr>
        <w:rFonts w:asciiTheme="majorHAnsi" w:hAnsiTheme="majorHAnsi" w:cstheme="majorHAnsi"/>
      </w:rPr>
    </w:pPr>
    <w:r w:rsidRPr="009032C6">
      <w:rPr>
        <w:rStyle w:val="PageNumber"/>
        <w:rFonts w:asciiTheme="majorHAnsi" w:hAnsiTheme="majorHAnsi" w:cstheme="majorHAnsi"/>
      </w:rPr>
      <w:t>-</w:t>
    </w:r>
    <w:r>
      <w:rPr>
        <w:rStyle w:val="PageNumber"/>
        <w:rFonts w:asciiTheme="majorHAnsi" w:hAnsiTheme="majorHAnsi" w:cstheme="majorHAnsi"/>
      </w:rPr>
      <w:t xml:space="preserve"> </w:t>
    </w:r>
    <w:r w:rsidRPr="009032C6">
      <w:rPr>
        <w:rStyle w:val="PageNumber"/>
        <w:rFonts w:asciiTheme="majorHAnsi" w:hAnsiTheme="majorHAnsi" w:cstheme="majorHAnsi"/>
      </w:rPr>
      <w:fldChar w:fldCharType="begin"/>
    </w:r>
    <w:r w:rsidRPr="009032C6">
      <w:rPr>
        <w:rStyle w:val="PageNumber"/>
        <w:rFonts w:asciiTheme="majorHAnsi" w:hAnsiTheme="majorHAnsi" w:cstheme="majorHAnsi"/>
      </w:rPr>
      <w:instrText xml:space="preserve"> PAGE </w:instrText>
    </w:r>
    <w:r w:rsidRPr="009032C6">
      <w:rPr>
        <w:rStyle w:val="PageNumber"/>
        <w:rFonts w:asciiTheme="majorHAnsi" w:hAnsiTheme="majorHAnsi" w:cstheme="majorHAnsi"/>
      </w:rPr>
      <w:fldChar w:fldCharType="separate"/>
    </w:r>
    <w:r>
      <w:rPr>
        <w:rStyle w:val="PageNumber"/>
        <w:rFonts w:asciiTheme="majorHAnsi" w:hAnsiTheme="majorHAnsi" w:cstheme="majorHAnsi"/>
        <w:noProof/>
      </w:rPr>
      <w:t>11</w:t>
    </w:r>
    <w:r w:rsidRPr="009032C6">
      <w:rPr>
        <w:rStyle w:val="PageNumber"/>
        <w:rFonts w:asciiTheme="majorHAnsi" w:hAnsiTheme="majorHAnsi" w:cstheme="majorHAnsi"/>
      </w:rPr>
      <w:fldChar w:fldCharType="end"/>
    </w:r>
    <w:r>
      <w:rPr>
        <w:rStyle w:val="PageNumber"/>
        <w:rFonts w:asciiTheme="majorHAnsi" w:hAnsiTheme="majorHAnsi" w:cstheme="majorHAns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77B0" w14:textId="77777777" w:rsidR="004C1293" w:rsidRDefault="004C1293">
    <w:pPr>
      <w:pStyle w:val="Footer"/>
      <w:tabs>
        <w:tab w:val="clear" w:pos="4320"/>
      </w:tabs>
      <w:jc w:val="center"/>
    </w:pPr>
  </w:p>
  <w:p w14:paraId="78617E5D" w14:textId="61D35965" w:rsidR="004C1293" w:rsidRPr="009032C6" w:rsidRDefault="004C1293">
    <w:pPr>
      <w:pStyle w:val="Footer"/>
      <w:tabs>
        <w:tab w:val="clear" w:pos="4320"/>
      </w:tabs>
      <w:jc w:val="center"/>
      <w:rPr>
        <w:rFonts w:asciiTheme="majorHAnsi" w:hAnsiTheme="majorHAnsi" w:cstheme="majorHAnsi"/>
        <w:sz w:val="20"/>
      </w:rPr>
    </w:pPr>
    <w:r w:rsidRPr="009032C6">
      <w:rPr>
        <w:rFonts w:asciiTheme="majorHAnsi" w:hAnsiTheme="majorHAnsi" w:cstheme="majorHAnsi"/>
        <w:sz w:val="20"/>
      </w:rPr>
      <w:t>A-</w:t>
    </w:r>
    <w:r w:rsidRPr="009032C6">
      <w:rPr>
        <w:rFonts w:asciiTheme="majorHAnsi" w:hAnsiTheme="majorHAnsi" w:cstheme="majorHAnsi"/>
        <w:sz w:val="20"/>
      </w:rPr>
      <w:fldChar w:fldCharType="begin"/>
    </w:r>
    <w:r w:rsidRPr="009032C6">
      <w:rPr>
        <w:rFonts w:asciiTheme="majorHAnsi" w:hAnsiTheme="majorHAnsi" w:cstheme="majorHAnsi"/>
        <w:sz w:val="20"/>
      </w:rPr>
      <w:instrText xml:space="preserve"> PAGE   \* MERGEFORMAT </w:instrText>
    </w:r>
    <w:r w:rsidRPr="009032C6">
      <w:rPr>
        <w:rFonts w:asciiTheme="majorHAnsi" w:hAnsiTheme="majorHAnsi" w:cstheme="majorHAnsi"/>
        <w:sz w:val="20"/>
      </w:rPr>
      <w:fldChar w:fldCharType="separate"/>
    </w:r>
    <w:r>
      <w:rPr>
        <w:rFonts w:asciiTheme="majorHAnsi" w:hAnsiTheme="majorHAnsi" w:cstheme="majorHAnsi"/>
        <w:noProof/>
        <w:sz w:val="20"/>
      </w:rPr>
      <w:t>6</w:t>
    </w:r>
    <w:r w:rsidRPr="009032C6">
      <w:rPr>
        <w:rFonts w:asciiTheme="majorHAnsi" w:hAnsiTheme="majorHAnsi" w:cstheme="majorHAnsi"/>
        <w:noProof/>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0969" w14:textId="77777777" w:rsidR="004C1293" w:rsidRDefault="004C12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25AA" w14:textId="4AEE280B" w:rsidR="004C1293" w:rsidRPr="005F5B08" w:rsidRDefault="004C1293" w:rsidP="005F5B08">
    <w:pPr>
      <w:pStyle w:val="Footer"/>
      <w:jc w:val="center"/>
      <w:rPr>
        <w:rFonts w:asciiTheme="majorHAnsi" w:hAnsiTheme="majorHAnsi" w:cstheme="majorHAnsi"/>
        <w:sz w:val="20"/>
        <w:szCs w:val="20"/>
      </w:rPr>
    </w:pPr>
    <w:r>
      <w:rPr>
        <w:rFonts w:asciiTheme="majorHAnsi" w:hAnsiTheme="majorHAnsi" w:cstheme="majorHAnsi"/>
        <w:sz w:val="20"/>
        <w:szCs w:val="20"/>
      </w:rPr>
      <w:t>B</w:t>
    </w:r>
    <w:r w:rsidRPr="005F5B08">
      <w:rPr>
        <w:rFonts w:asciiTheme="majorHAnsi" w:hAnsiTheme="majorHAnsi" w:cstheme="majorHAnsi"/>
        <w:sz w:val="20"/>
        <w:szCs w:val="20"/>
      </w:rPr>
      <w:t>-</w:t>
    </w:r>
    <w:sdt>
      <w:sdtPr>
        <w:rPr>
          <w:rFonts w:asciiTheme="majorHAnsi" w:hAnsiTheme="majorHAnsi" w:cstheme="majorHAnsi"/>
          <w:sz w:val="20"/>
          <w:szCs w:val="20"/>
        </w:rPr>
        <w:id w:val="207313516"/>
        <w:docPartObj>
          <w:docPartGallery w:val="Page Numbers (Bottom of Page)"/>
          <w:docPartUnique/>
        </w:docPartObj>
      </w:sdtPr>
      <w:sdtEndPr>
        <w:rPr>
          <w:noProof/>
        </w:rPr>
      </w:sdtEndPr>
      <w:sdtContent>
        <w:r w:rsidRPr="005F5B08">
          <w:rPr>
            <w:rFonts w:asciiTheme="majorHAnsi" w:hAnsiTheme="majorHAnsi" w:cstheme="majorHAnsi"/>
            <w:sz w:val="20"/>
            <w:szCs w:val="20"/>
          </w:rPr>
          <w:fldChar w:fldCharType="begin"/>
        </w:r>
        <w:r w:rsidRPr="005F5B08">
          <w:rPr>
            <w:rFonts w:asciiTheme="majorHAnsi" w:hAnsiTheme="majorHAnsi" w:cstheme="majorHAnsi"/>
            <w:sz w:val="20"/>
            <w:szCs w:val="20"/>
          </w:rPr>
          <w:instrText xml:space="preserve"> PAGE   \* MERGEFORMAT </w:instrText>
        </w:r>
        <w:r w:rsidRPr="005F5B08">
          <w:rPr>
            <w:rFonts w:asciiTheme="majorHAnsi" w:hAnsiTheme="majorHAnsi" w:cstheme="majorHAnsi"/>
            <w:sz w:val="20"/>
            <w:szCs w:val="20"/>
          </w:rPr>
          <w:fldChar w:fldCharType="separate"/>
        </w:r>
        <w:r w:rsidRPr="005F5B08">
          <w:rPr>
            <w:rFonts w:asciiTheme="majorHAnsi" w:hAnsiTheme="majorHAnsi" w:cstheme="majorHAnsi"/>
            <w:noProof/>
            <w:sz w:val="20"/>
            <w:szCs w:val="20"/>
          </w:rPr>
          <w:t>17</w:t>
        </w:r>
        <w:r w:rsidRPr="005F5B08">
          <w:rPr>
            <w:rFonts w:asciiTheme="majorHAnsi" w:hAnsiTheme="majorHAnsi" w:cstheme="maj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1E02D" w14:textId="77777777" w:rsidR="00432A8D" w:rsidRDefault="00432A8D">
      <w:r>
        <w:separator/>
      </w:r>
    </w:p>
  </w:footnote>
  <w:footnote w:type="continuationSeparator" w:id="0">
    <w:p w14:paraId="526836FD" w14:textId="77777777" w:rsidR="00432A8D" w:rsidRDefault="00432A8D">
      <w:r>
        <w:continuationSeparator/>
      </w:r>
    </w:p>
  </w:footnote>
  <w:footnote w:type="continuationNotice" w:id="1">
    <w:p w14:paraId="71A786A7" w14:textId="77777777" w:rsidR="00432A8D" w:rsidRDefault="00432A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DC4E7" w14:textId="77777777" w:rsidR="000F429B" w:rsidRDefault="000F429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1FB9" w14:textId="24120D1E" w:rsidR="00D954D8" w:rsidRDefault="00D954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81E05" w14:textId="638DED78" w:rsidR="004C1293" w:rsidRPr="001E39EB" w:rsidRDefault="004C1293" w:rsidP="001E39EB">
    <w:pPr>
      <w:pStyle w:val="Header"/>
      <w:tabs>
        <w:tab w:val="clear" w:pos="8640"/>
        <w:tab w:val="right" w:pos="9360"/>
      </w:tabs>
      <w:ind w:left="7470"/>
      <w:jc w:val="right"/>
      <w:rPr>
        <w:rFonts w:asciiTheme="majorHAnsi" w:hAnsiTheme="majorHAnsi" w:cstheme="majorHAnsi"/>
        <w:sz w:val="20"/>
      </w:rPr>
    </w:pPr>
    <w:r w:rsidRPr="009032C6">
      <w:rPr>
        <w:rFonts w:asciiTheme="majorHAnsi" w:hAnsiTheme="majorHAnsi" w:cstheme="majorHAnsi"/>
        <w:sz w:val="20"/>
      </w:rPr>
      <w:t>Appendix 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1A46" w14:textId="33356FE2" w:rsidR="004C1293" w:rsidRDefault="004C1293">
    <w:pPr>
      <w:pStyle w:val="Header"/>
      <w:widowControl w:val="0"/>
      <w:jc w:val="right"/>
    </w:pPr>
    <w:r>
      <w:t>January 19, 2012</w:t>
    </w:r>
  </w:p>
  <w:p w14:paraId="0D82D530" w14:textId="77777777" w:rsidR="004C1293" w:rsidRDefault="004C1293">
    <w:pPr>
      <w:pStyle w:val="Heade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1324" w14:textId="535BD030" w:rsidR="00D954D8" w:rsidRDefault="00D954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6533" w14:textId="044E9A28" w:rsidR="004C1293" w:rsidRDefault="004C129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B71F6" w14:textId="56DC0FED" w:rsidR="00D954D8" w:rsidRDefault="00D95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7807E" w14:textId="47C6F488" w:rsidR="004C1293" w:rsidRDefault="004C1293">
    <w:pPr>
      <w:pStyle w:val="Header"/>
      <w:tabs>
        <w:tab w:val="left" w:pos="7380"/>
      </w:tabs>
    </w:pPr>
    <w:r>
      <w:tab/>
    </w:r>
    <w:r>
      <w:tab/>
    </w:r>
  </w:p>
  <w:p w14:paraId="1DD941FC" w14:textId="77777777" w:rsidR="004C1293" w:rsidRDefault="004C1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BB97" w14:textId="77777777" w:rsidR="000F429B" w:rsidRDefault="000F42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6DEB4" w14:textId="2BDD213C" w:rsidR="00D954D8" w:rsidRDefault="00D95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8C6B8" w14:textId="4EC8F808" w:rsidR="004C1293" w:rsidRDefault="004C1293" w:rsidP="002218A6">
    <w:pPr>
      <w:pStyle w:val="Header"/>
      <w:tabs>
        <w:tab w:val="clear" w:pos="8640"/>
        <w:tab w:val="right" w:pos="9360"/>
      </w:tabs>
      <w:ind w:left="6840"/>
      <w:jc w:val="right"/>
    </w:pPr>
    <w:r>
      <w:t>Executive Summary</w:t>
    </w:r>
  </w:p>
  <w:p w14:paraId="792FF328" w14:textId="77777777" w:rsidR="004C1293" w:rsidRDefault="004C1293">
    <w:pPr>
      <w:pStyle w:val="Header"/>
      <w:tabs>
        <w:tab w:val="clear" w:pos="8640"/>
        <w:tab w:val="right" w:pos="9360"/>
      </w:tabs>
      <w:ind w:left="738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EF97" w14:textId="369FCF36" w:rsidR="004C1293" w:rsidRDefault="004C1293">
    <w:pPr>
      <w:jc w:val="right"/>
    </w:pPr>
    <w:r>
      <w:t>2010 Milestone Report</w:t>
    </w:r>
  </w:p>
  <w:p w14:paraId="41A72622" w14:textId="77777777" w:rsidR="004C1293" w:rsidRDefault="004C1293">
    <w:pPr>
      <w:jc w:val="right"/>
    </w:pPr>
    <w:r>
      <w:t>March 22, 2012</w:t>
    </w:r>
  </w:p>
  <w:p w14:paraId="446EBB9F" w14:textId="77777777" w:rsidR="004C1293" w:rsidRDefault="004C12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373E" w14:textId="7097E12A" w:rsidR="00D954D8" w:rsidRDefault="00D954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ED39B" w14:textId="224BB307" w:rsidR="004C1293" w:rsidRDefault="00B76BF4" w:rsidP="00D954D8">
    <w:pPr>
      <w:pStyle w:val="Header"/>
      <w:tabs>
        <w:tab w:val="clear" w:pos="8640"/>
        <w:tab w:val="right" w:pos="9360"/>
      </w:tabs>
      <w:ind w:left="6300"/>
      <w:jc w:val="right"/>
      <w:rPr>
        <w:rFonts w:asciiTheme="majorHAnsi" w:hAnsiTheme="majorHAnsi" w:cstheme="majorHAnsi"/>
        <w:sz w:val="20"/>
      </w:rPr>
    </w:pPr>
    <w:r>
      <w:rPr>
        <w:rFonts w:asciiTheme="majorHAnsi" w:hAnsiTheme="majorHAnsi" w:cstheme="majorHAnsi"/>
        <w:sz w:val="20"/>
      </w:rPr>
      <w:t>202</w:t>
    </w:r>
    <w:r w:rsidR="00136A28">
      <w:rPr>
        <w:rFonts w:asciiTheme="majorHAnsi" w:hAnsiTheme="majorHAnsi" w:cstheme="majorHAnsi"/>
        <w:sz w:val="20"/>
      </w:rPr>
      <w:t>3</w:t>
    </w:r>
    <w:r w:rsidR="004C1293" w:rsidRPr="009032C6">
      <w:rPr>
        <w:rFonts w:asciiTheme="majorHAnsi" w:hAnsiTheme="majorHAnsi" w:cstheme="majorHAnsi"/>
        <w:sz w:val="20"/>
      </w:rPr>
      <w:t xml:space="preserve"> Milestone Report</w:t>
    </w:r>
  </w:p>
  <w:p w14:paraId="50CBC572" w14:textId="77777777" w:rsidR="004C1293" w:rsidRPr="001E39EB" w:rsidRDefault="004C1293" w:rsidP="001E39EB">
    <w:pPr>
      <w:pStyle w:val="Header"/>
      <w:tabs>
        <w:tab w:val="clear" w:pos="8640"/>
        <w:tab w:val="right" w:pos="9360"/>
      </w:tabs>
      <w:ind w:left="6768"/>
      <w:jc w:val="right"/>
      <w:rPr>
        <w:rFonts w:asciiTheme="majorHAnsi" w:hAnsiTheme="majorHAnsi" w:cstheme="majorHAnsi"/>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66AD" w14:textId="00D7C471" w:rsidR="00D954D8" w:rsidRDefault="00D9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15:restartNumberingAfterBreak="0">
    <w:nsid w:val="00000002"/>
    <w:multiLevelType w:val="singleLevel"/>
    <w:tmpl w:val="00000002"/>
    <w:lvl w:ilvl="0">
      <w:start w:val="1"/>
      <w:numFmt w:val="none"/>
      <w:suff w:val="nothing"/>
      <w:lvlText w:val="!"/>
      <w:lvlJc w:val="left"/>
      <w:rPr>
        <w:rFonts w:ascii="WP TypographicSymbols" w:hAnsi="WP TypographicSymbols"/>
      </w:rPr>
    </w:lvl>
  </w:abstractNum>
  <w:abstractNum w:abstractNumId="2" w15:restartNumberingAfterBreak="0">
    <w:nsid w:val="001020C2"/>
    <w:multiLevelType w:val="hybridMultilevel"/>
    <w:tmpl w:val="E2BE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6081F"/>
    <w:multiLevelType w:val="hybridMultilevel"/>
    <w:tmpl w:val="70420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4469A7"/>
    <w:multiLevelType w:val="hybridMultilevel"/>
    <w:tmpl w:val="168AF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875A72"/>
    <w:multiLevelType w:val="hybridMultilevel"/>
    <w:tmpl w:val="406CE3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5A4FE1"/>
    <w:multiLevelType w:val="hybridMultilevel"/>
    <w:tmpl w:val="7114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D5008"/>
    <w:multiLevelType w:val="multilevel"/>
    <w:tmpl w:val="536E0EE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776812"/>
    <w:multiLevelType w:val="hybridMultilevel"/>
    <w:tmpl w:val="B556451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970029C"/>
    <w:multiLevelType w:val="hybridMultilevel"/>
    <w:tmpl w:val="B002E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674521"/>
    <w:multiLevelType w:val="hybridMultilevel"/>
    <w:tmpl w:val="20E0B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F6A50"/>
    <w:multiLevelType w:val="hybridMultilevel"/>
    <w:tmpl w:val="15A4973C"/>
    <w:lvl w:ilvl="0" w:tplc="BD1C4BDE">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824D4"/>
    <w:multiLevelType w:val="hybridMultilevel"/>
    <w:tmpl w:val="F126F4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6620BE"/>
    <w:multiLevelType w:val="hybridMultilevel"/>
    <w:tmpl w:val="C6C27FD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680A1F"/>
    <w:multiLevelType w:val="multilevel"/>
    <w:tmpl w:val="E0F0E076"/>
    <w:lvl w:ilvl="0">
      <w:start w:val="9"/>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B96E0E"/>
    <w:multiLevelType w:val="hybridMultilevel"/>
    <w:tmpl w:val="D4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8214A0"/>
    <w:multiLevelType w:val="hybridMultilevel"/>
    <w:tmpl w:val="4198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95E37"/>
    <w:multiLevelType w:val="hybridMultilevel"/>
    <w:tmpl w:val="803E3E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C2EC4"/>
    <w:multiLevelType w:val="hybridMultilevel"/>
    <w:tmpl w:val="8608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930D6"/>
    <w:multiLevelType w:val="hybridMultilevel"/>
    <w:tmpl w:val="588443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745308"/>
    <w:multiLevelType w:val="hybridMultilevel"/>
    <w:tmpl w:val="3B129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453B4C"/>
    <w:multiLevelType w:val="hybridMultilevel"/>
    <w:tmpl w:val="A6E4124A"/>
    <w:lvl w:ilvl="0" w:tplc="8F38BE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C5759"/>
    <w:multiLevelType w:val="hybridMultilevel"/>
    <w:tmpl w:val="79C4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4E2DAA"/>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DF9144A"/>
    <w:multiLevelType w:val="hybridMultilevel"/>
    <w:tmpl w:val="1376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4076B"/>
    <w:multiLevelType w:val="hybridMultilevel"/>
    <w:tmpl w:val="753CFE30"/>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6C7395"/>
    <w:multiLevelType w:val="hybridMultilevel"/>
    <w:tmpl w:val="89BA1196"/>
    <w:lvl w:ilvl="0" w:tplc="04090001">
      <w:start w:val="200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910587"/>
    <w:multiLevelType w:val="multilevel"/>
    <w:tmpl w:val="72906138"/>
    <w:lvl w:ilvl="0">
      <w:start w:val="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9DC0A94"/>
    <w:multiLevelType w:val="hybridMultilevel"/>
    <w:tmpl w:val="1E76F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F4550"/>
    <w:multiLevelType w:val="hybridMultilevel"/>
    <w:tmpl w:val="79EE2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13333C"/>
    <w:multiLevelType w:val="hybridMultilevel"/>
    <w:tmpl w:val="1D8CF3D0"/>
    <w:lvl w:ilvl="0" w:tplc="FE9082A8">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E63602"/>
    <w:multiLevelType w:val="hybridMultilevel"/>
    <w:tmpl w:val="4DFC1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D49EC"/>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757B33A4"/>
    <w:multiLevelType w:val="hybridMultilevel"/>
    <w:tmpl w:val="CB785C6A"/>
    <w:lvl w:ilvl="0" w:tplc="C39E0AD2">
      <w:start w:val="1"/>
      <w:numFmt w:val="decimal"/>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02781"/>
    <w:multiLevelType w:val="multilevel"/>
    <w:tmpl w:val="1F38EEBE"/>
    <w:lvl w:ilvl="0">
      <w:start w:val="4"/>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7BD20161"/>
    <w:multiLevelType w:val="hybridMultilevel"/>
    <w:tmpl w:val="536E0EE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95709030">
    <w:abstractNumId w:val="0"/>
  </w:num>
  <w:num w:numId="2" w16cid:durableId="1524245419">
    <w:abstractNumId w:val="1"/>
  </w:num>
  <w:num w:numId="3" w16cid:durableId="820852283">
    <w:abstractNumId w:val="30"/>
  </w:num>
  <w:num w:numId="4" w16cid:durableId="1829856028">
    <w:abstractNumId w:val="8"/>
  </w:num>
  <w:num w:numId="5" w16cid:durableId="269515488">
    <w:abstractNumId w:val="16"/>
  </w:num>
  <w:num w:numId="6" w16cid:durableId="938292445">
    <w:abstractNumId w:val="26"/>
  </w:num>
  <w:num w:numId="7" w16cid:durableId="1626500019">
    <w:abstractNumId w:val="12"/>
  </w:num>
  <w:num w:numId="8" w16cid:durableId="1304847363">
    <w:abstractNumId w:val="33"/>
  </w:num>
  <w:num w:numId="9" w16cid:durableId="1092438590">
    <w:abstractNumId w:val="21"/>
  </w:num>
  <w:num w:numId="10" w16cid:durableId="1357463958">
    <w:abstractNumId w:val="23"/>
  </w:num>
  <w:num w:numId="11" w16cid:durableId="2120030566">
    <w:abstractNumId w:val="34"/>
  </w:num>
  <w:num w:numId="12" w16cid:durableId="344596405">
    <w:abstractNumId w:val="32"/>
  </w:num>
  <w:num w:numId="13" w16cid:durableId="2021619654">
    <w:abstractNumId w:val="35"/>
  </w:num>
  <w:num w:numId="14" w16cid:durableId="1285968583">
    <w:abstractNumId w:val="13"/>
  </w:num>
  <w:num w:numId="15" w16cid:durableId="1554776843">
    <w:abstractNumId w:val="7"/>
  </w:num>
  <w:num w:numId="16" w16cid:durableId="1505437124">
    <w:abstractNumId w:val="25"/>
  </w:num>
  <w:num w:numId="17" w16cid:durableId="1310283984">
    <w:abstractNumId w:val="27"/>
  </w:num>
  <w:num w:numId="18" w16cid:durableId="987586527">
    <w:abstractNumId w:val="14"/>
  </w:num>
  <w:num w:numId="19" w16cid:durableId="1477911044">
    <w:abstractNumId w:val="22"/>
  </w:num>
  <w:num w:numId="20" w16cid:durableId="1937054673">
    <w:abstractNumId w:val="31"/>
  </w:num>
  <w:num w:numId="21" w16cid:durableId="2072607701">
    <w:abstractNumId w:val="10"/>
  </w:num>
  <w:num w:numId="22" w16cid:durableId="1972444552">
    <w:abstractNumId w:val="5"/>
  </w:num>
  <w:num w:numId="23" w16cid:durableId="103422715">
    <w:abstractNumId w:val="17"/>
  </w:num>
  <w:num w:numId="24" w16cid:durableId="122231471">
    <w:abstractNumId w:val="9"/>
  </w:num>
  <w:num w:numId="25" w16cid:durableId="358089746">
    <w:abstractNumId w:val="2"/>
  </w:num>
  <w:num w:numId="26" w16cid:durableId="1219633792">
    <w:abstractNumId w:val="20"/>
  </w:num>
  <w:num w:numId="27" w16cid:durableId="537283543">
    <w:abstractNumId w:val="29"/>
  </w:num>
  <w:num w:numId="28" w16cid:durableId="1341082725">
    <w:abstractNumId w:val="11"/>
  </w:num>
  <w:num w:numId="29" w16cid:durableId="1722749748">
    <w:abstractNumId w:val="18"/>
  </w:num>
  <w:num w:numId="30" w16cid:durableId="1322387538">
    <w:abstractNumId w:val="15"/>
  </w:num>
  <w:num w:numId="31" w16cid:durableId="1251280241">
    <w:abstractNumId w:val="28"/>
  </w:num>
  <w:num w:numId="32" w16cid:durableId="1534076716">
    <w:abstractNumId w:val="3"/>
  </w:num>
  <w:num w:numId="33" w16cid:durableId="1316371065">
    <w:abstractNumId w:val="4"/>
  </w:num>
  <w:num w:numId="34" w16cid:durableId="1440291787">
    <w:abstractNumId w:val="19"/>
  </w:num>
  <w:num w:numId="35" w16cid:durableId="757209970">
    <w:abstractNumId w:val="24"/>
  </w:num>
  <w:num w:numId="36" w16cid:durableId="417018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1D"/>
    <w:rsid w:val="000005E5"/>
    <w:rsid w:val="00000944"/>
    <w:rsid w:val="00003377"/>
    <w:rsid w:val="00004259"/>
    <w:rsid w:val="00005B1F"/>
    <w:rsid w:val="00011C94"/>
    <w:rsid w:val="000131A7"/>
    <w:rsid w:val="000224DE"/>
    <w:rsid w:val="00023F86"/>
    <w:rsid w:val="00030B08"/>
    <w:rsid w:val="000333E3"/>
    <w:rsid w:val="0003398C"/>
    <w:rsid w:val="0003475D"/>
    <w:rsid w:val="00034FC9"/>
    <w:rsid w:val="0003536C"/>
    <w:rsid w:val="00035DF9"/>
    <w:rsid w:val="00036DE9"/>
    <w:rsid w:val="00036F6E"/>
    <w:rsid w:val="000403E6"/>
    <w:rsid w:val="00043244"/>
    <w:rsid w:val="00046600"/>
    <w:rsid w:val="00050219"/>
    <w:rsid w:val="00052DB7"/>
    <w:rsid w:val="00056E2D"/>
    <w:rsid w:val="00060365"/>
    <w:rsid w:val="000610ED"/>
    <w:rsid w:val="00061F07"/>
    <w:rsid w:val="0006264B"/>
    <w:rsid w:val="0006315D"/>
    <w:rsid w:val="0006354A"/>
    <w:rsid w:val="00065B4E"/>
    <w:rsid w:val="00067C1B"/>
    <w:rsid w:val="00073196"/>
    <w:rsid w:val="00073D05"/>
    <w:rsid w:val="00077D01"/>
    <w:rsid w:val="00077FA5"/>
    <w:rsid w:val="000830A0"/>
    <w:rsid w:val="00083583"/>
    <w:rsid w:val="000867C9"/>
    <w:rsid w:val="00086FE0"/>
    <w:rsid w:val="000950B7"/>
    <w:rsid w:val="000977A5"/>
    <w:rsid w:val="000A087C"/>
    <w:rsid w:val="000A1522"/>
    <w:rsid w:val="000A413D"/>
    <w:rsid w:val="000A4148"/>
    <w:rsid w:val="000A48CF"/>
    <w:rsid w:val="000B0AED"/>
    <w:rsid w:val="000B1958"/>
    <w:rsid w:val="000B3E1D"/>
    <w:rsid w:val="000B4B44"/>
    <w:rsid w:val="000B4FFB"/>
    <w:rsid w:val="000B715E"/>
    <w:rsid w:val="000D18A0"/>
    <w:rsid w:val="000D2C1C"/>
    <w:rsid w:val="000D6829"/>
    <w:rsid w:val="000E0930"/>
    <w:rsid w:val="000E4D60"/>
    <w:rsid w:val="000E5294"/>
    <w:rsid w:val="000E6A7A"/>
    <w:rsid w:val="000F0277"/>
    <w:rsid w:val="000F2026"/>
    <w:rsid w:val="000F3393"/>
    <w:rsid w:val="000F429B"/>
    <w:rsid w:val="000F55A4"/>
    <w:rsid w:val="000F59A3"/>
    <w:rsid w:val="000F5F95"/>
    <w:rsid w:val="00104224"/>
    <w:rsid w:val="00107B9C"/>
    <w:rsid w:val="001106BF"/>
    <w:rsid w:val="00111308"/>
    <w:rsid w:val="00113811"/>
    <w:rsid w:val="001151A7"/>
    <w:rsid w:val="00117745"/>
    <w:rsid w:val="00121EDC"/>
    <w:rsid w:val="00122486"/>
    <w:rsid w:val="00122A7F"/>
    <w:rsid w:val="00125AB2"/>
    <w:rsid w:val="00126362"/>
    <w:rsid w:val="0012666F"/>
    <w:rsid w:val="00131DCA"/>
    <w:rsid w:val="00131F1F"/>
    <w:rsid w:val="00133B77"/>
    <w:rsid w:val="0013408D"/>
    <w:rsid w:val="00135DD5"/>
    <w:rsid w:val="00135EF0"/>
    <w:rsid w:val="00136A28"/>
    <w:rsid w:val="00142C06"/>
    <w:rsid w:val="00144DDE"/>
    <w:rsid w:val="0014623B"/>
    <w:rsid w:val="0015006A"/>
    <w:rsid w:val="00151FB8"/>
    <w:rsid w:val="00161527"/>
    <w:rsid w:val="00161833"/>
    <w:rsid w:val="00162661"/>
    <w:rsid w:val="0016336C"/>
    <w:rsid w:val="00165759"/>
    <w:rsid w:val="00167D1F"/>
    <w:rsid w:val="0017056D"/>
    <w:rsid w:val="0017154F"/>
    <w:rsid w:val="00172A2E"/>
    <w:rsid w:val="0017783F"/>
    <w:rsid w:val="0018033D"/>
    <w:rsid w:val="00181282"/>
    <w:rsid w:val="00182A56"/>
    <w:rsid w:val="00182E08"/>
    <w:rsid w:val="00184AFB"/>
    <w:rsid w:val="001861A4"/>
    <w:rsid w:val="00190445"/>
    <w:rsid w:val="00192251"/>
    <w:rsid w:val="001931CF"/>
    <w:rsid w:val="00193DBA"/>
    <w:rsid w:val="00194799"/>
    <w:rsid w:val="001A321E"/>
    <w:rsid w:val="001A446A"/>
    <w:rsid w:val="001B1275"/>
    <w:rsid w:val="001B14D8"/>
    <w:rsid w:val="001B4D7B"/>
    <w:rsid w:val="001B71CD"/>
    <w:rsid w:val="001C5A4C"/>
    <w:rsid w:val="001D2B32"/>
    <w:rsid w:val="001D404B"/>
    <w:rsid w:val="001D5DEA"/>
    <w:rsid w:val="001E0A10"/>
    <w:rsid w:val="001E0EFD"/>
    <w:rsid w:val="001E39A7"/>
    <w:rsid w:val="001E39EB"/>
    <w:rsid w:val="001E42A7"/>
    <w:rsid w:val="001E5198"/>
    <w:rsid w:val="001E6488"/>
    <w:rsid w:val="001E7A18"/>
    <w:rsid w:val="001E7C39"/>
    <w:rsid w:val="001F284F"/>
    <w:rsid w:val="001F2A1C"/>
    <w:rsid w:val="001F49DA"/>
    <w:rsid w:val="001F5B61"/>
    <w:rsid w:val="001F75C8"/>
    <w:rsid w:val="002002C7"/>
    <w:rsid w:val="0020762C"/>
    <w:rsid w:val="00207C44"/>
    <w:rsid w:val="00210D4E"/>
    <w:rsid w:val="00213B41"/>
    <w:rsid w:val="002143B6"/>
    <w:rsid w:val="00215343"/>
    <w:rsid w:val="002176D5"/>
    <w:rsid w:val="00221472"/>
    <w:rsid w:val="002218A6"/>
    <w:rsid w:val="002239C5"/>
    <w:rsid w:val="00224487"/>
    <w:rsid w:val="00225FF1"/>
    <w:rsid w:val="002262A3"/>
    <w:rsid w:val="0022668A"/>
    <w:rsid w:val="0022726D"/>
    <w:rsid w:val="00230767"/>
    <w:rsid w:val="0023398A"/>
    <w:rsid w:val="00240E0B"/>
    <w:rsid w:val="0024485D"/>
    <w:rsid w:val="00246A58"/>
    <w:rsid w:val="00246BB1"/>
    <w:rsid w:val="00250005"/>
    <w:rsid w:val="00251795"/>
    <w:rsid w:val="002517A7"/>
    <w:rsid w:val="0025572F"/>
    <w:rsid w:val="002573C6"/>
    <w:rsid w:val="00257554"/>
    <w:rsid w:val="002613E0"/>
    <w:rsid w:val="0026317E"/>
    <w:rsid w:val="00271E2F"/>
    <w:rsid w:val="0027273E"/>
    <w:rsid w:val="002817D8"/>
    <w:rsid w:val="0028447D"/>
    <w:rsid w:val="002845E9"/>
    <w:rsid w:val="00285FC2"/>
    <w:rsid w:val="00287EB6"/>
    <w:rsid w:val="00294FC5"/>
    <w:rsid w:val="00295A27"/>
    <w:rsid w:val="00296497"/>
    <w:rsid w:val="002A5714"/>
    <w:rsid w:val="002B1947"/>
    <w:rsid w:val="002B3E76"/>
    <w:rsid w:val="002B509C"/>
    <w:rsid w:val="002B5DC4"/>
    <w:rsid w:val="002B60AB"/>
    <w:rsid w:val="002B69F3"/>
    <w:rsid w:val="002C4475"/>
    <w:rsid w:val="002C465F"/>
    <w:rsid w:val="002C5E05"/>
    <w:rsid w:val="002C743E"/>
    <w:rsid w:val="002D1780"/>
    <w:rsid w:val="002D5134"/>
    <w:rsid w:val="002D6AE1"/>
    <w:rsid w:val="002D6FDC"/>
    <w:rsid w:val="002E2CD1"/>
    <w:rsid w:val="002E3244"/>
    <w:rsid w:val="002E6F56"/>
    <w:rsid w:val="002E7BF0"/>
    <w:rsid w:val="002F1ED8"/>
    <w:rsid w:val="002F46EB"/>
    <w:rsid w:val="00301003"/>
    <w:rsid w:val="00301C59"/>
    <w:rsid w:val="00304B36"/>
    <w:rsid w:val="00307E4C"/>
    <w:rsid w:val="0031323C"/>
    <w:rsid w:val="00313F70"/>
    <w:rsid w:val="00317832"/>
    <w:rsid w:val="00320299"/>
    <w:rsid w:val="00327439"/>
    <w:rsid w:val="00332CAE"/>
    <w:rsid w:val="003336A2"/>
    <w:rsid w:val="00333D79"/>
    <w:rsid w:val="00336A67"/>
    <w:rsid w:val="003442C3"/>
    <w:rsid w:val="00352DD6"/>
    <w:rsid w:val="00353D8E"/>
    <w:rsid w:val="00354AD3"/>
    <w:rsid w:val="003555E4"/>
    <w:rsid w:val="00355EFD"/>
    <w:rsid w:val="003619BB"/>
    <w:rsid w:val="00366698"/>
    <w:rsid w:val="00367B85"/>
    <w:rsid w:val="0037017F"/>
    <w:rsid w:val="00375904"/>
    <w:rsid w:val="0037621C"/>
    <w:rsid w:val="0038059D"/>
    <w:rsid w:val="00381CDD"/>
    <w:rsid w:val="00382BD5"/>
    <w:rsid w:val="00387506"/>
    <w:rsid w:val="00391363"/>
    <w:rsid w:val="00394D02"/>
    <w:rsid w:val="00395A81"/>
    <w:rsid w:val="00396220"/>
    <w:rsid w:val="003A30B7"/>
    <w:rsid w:val="003A313B"/>
    <w:rsid w:val="003A52EA"/>
    <w:rsid w:val="003A54D5"/>
    <w:rsid w:val="003A697C"/>
    <w:rsid w:val="003A6A57"/>
    <w:rsid w:val="003B1337"/>
    <w:rsid w:val="003B2B21"/>
    <w:rsid w:val="003B2DC9"/>
    <w:rsid w:val="003B6445"/>
    <w:rsid w:val="003B6B5F"/>
    <w:rsid w:val="003B6D49"/>
    <w:rsid w:val="003B71AE"/>
    <w:rsid w:val="003C1F2A"/>
    <w:rsid w:val="003D0C70"/>
    <w:rsid w:val="003D5CFA"/>
    <w:rsid w:val="003E17F1"/>
    <w:rsid w:val="003E1F39"/>
    <w:rsid w:val="003E323D"/>
    <w:rsid w:val="003E61D7"/>
    <w:rsid w:val="003F705F"/>
    <w:rsid w:val="0040281F"/>
    <w:rsid w:val="004054E5"/>
    <w:rsid w:val="004067AA"/>
    <w:rsid w:val="0041077C"/>
    <w:rsid w:val="00410EFD"/>
    <w:rsid w:val="004117F0"/>
    <w:rsid w:val="0041261D"/>
    <w:rsid w:val="0042020A"/>
    <w:rsid w:val="004205FE"/>
    <w:rsid w:val="00422088"/>
    <w:rsid w:val="0042313F"/>
    <w:rsid w:val="00424EAF"/>
    <w:rsid w:val="004303C6"/>
    <w:rsid w:val="004319D8"/>
    <w:rsid w:val="00432A8D"/>
    <w:rsid w:val="0044056D"/>
    <w:rsid w:val="00440D1E"/>
    <w:rsid w:val="0044301A"/>
    <w:rsid w:val="0044420D"/>
    <w:rsid w:val="00451E0B"/>
    <w:rsid w:val="00453788"/>
    <w:rsid w:val="004537F2"/>
    <w:rsid w:val="00454894"/>
    <w:rsid w:val="004566A0"/>
    <w:rsid w:val="00466BDF"/>
    <w:rsid w:val="00470913"/>
    <w:rsid w:val="004717C8"/>
    <w:rsid w:val="00473F4E"/>
    <w:rsid w:val="004776CB"/>
    <w:rsid w:val="00477C49"/>
    <w:rsid w:val="00480536"/>
    <w:rsid w:val="00483E05"/>
    <w:rsid w:val="00484D4A"/>
    <w:rsid w:val="004850F3"/>
    <w:rsid w:val="00485DF1"/>
    <w:rsid w:val="0049258A"/>
    <w:rsid w:val="004A0C4C"/>
    <w:rsid w:val="004A0CC1"/>
    <w:rsid w:val="004A2A32"/>
    <w:rsid w:val="004A2D0D"/>
    <w:rsid w:val="004A4719"/>
    <w:rsid w:val="004A590D"/>
    <w:rsid w:val="004A6668"/>
    <w:rsid w:val="004A7E9A"/>
    <w:rsid w:val="004B2463"/>
    <w:rsid w:val="004B3777"/>
    <w:rsid w:val="004B4555"/>
    <w:rsid w:val="004B6141"/>
    <w:rsid w:val="004B7D35"/>
    <w:rsid w:val="004C1293"/>
    <w:rsid w:val="004C2976"/>
    <w:rsid w:val="004C3547"/>
    <w:rsid w:val="004C7989"/>
    <w:rsid w:val="004D573D"/>
    <w:rsid w:val="004D6A9B"/>
    <w:rsid w:val="004D7BC3"/>
    <w:rsid w:val="004E3EF6"/>
    <w:rsid w:val="004E53AC"/>
    <w:rsid w:val="004E7C9F"/>
    <w:rsid w:val="004F608E"/>
    <w:rsid w:val="004F66CB"/>
    <w:rsid w:val="00500341"/>
    <w:rsid w:val="005012FE"/>
    <w:rsid w:val="00504F3E"/>
    <w:rsid w:val="00511ECF"/>
    <w:rsid w:val="0051391F"/>
    <w:rsid w:val="005142EC"/>
    <w:rsid w:val="00514F45"/>
    <w:rsid w:val="00521B64"/>
    <w:rsid w:val="00522BE1"/>
    <w:rsid w:val="00523D5D"/>
    <w:rsid w:val="00526B97"/>
    <w:rsid w:val="00534C12"/>
    <w:rsid w:val="00534F1E"/>
    <w:rsid w:val="0053522F"/>
    <w:rsid w:val="00537D3A"/>
    <w:rsid w:val="00540D71"/>
    <w:rsid w:val="00543A7C"/>
    <w:rsid w:val="0055455E"/>
    <w:rsid w:val="00554F2E"/>
    <w:rsid w:val="00555AB6"/>
    <w:rsid w:val="005572FD"/>
    <w:rsid w:val="00560418"/>
    <w:rsid w:val="00560852"/>
    <w:rsid w:val="0056390A"/>
    <w:rsid w:val="005645CC"/>
    <w:rsid w:val="0057578E"/>
    <w:rsid w:val="00576895"/>
    <w:rsid w:val="005776E6"/>
    <w:rsid w:val="00577844"/>
    <w:rsid w:val="0058134A"/>
    <w:rsid w:val="00582112"/>
    <w:rsid w:val="00583631"/>
    <w:rsid w:val="0059166E"/>
    <w:rsid w:val="005927C5"/>
    <w:rsid w:val="00593892"/>
    <w:rsid w:val="0059416D"/>
    <w:rsid w:val="00596563"/>
    <w:rsid w:val="00596CA4"/>
    <w:rsid w:val="00597425"/>
    <w:rsid w:val="005A3CC2"/>
    <w:rsid w:val="005B0A30"/>
    <w:rsid w:val="005B4753"/>
    <w:rsid w:val="005B5AC9"/>
    <w:rsid w:val="005B6B8D"/>
    <w:rsid w:val="005B746B"/>
    <w:rsid w:val="005C0294"/>
    <w:rsid w:val="005C232A"/>
    <w:rsid w:val="005C6E4A"/>
    <w:rsid w:val="005C794C"/>
    <w:rsid w:val="005C7AF0"/>
    <w:rsid w:val="005D2975"/>
    <w:rsid w:val="005D56F0"/>
    <w:rsid w:val="005E018E"/>
    <w:rsid w:val="005E1279"/>
    <w:rsid w:val="005E5D8A"/>
    <w:rsid w:val="005E6341"/>
    <w:rsid w:val="005F018D"/>
    <w:rsid w:val="005F1DF6"/>
    <w:rsid w:val="005F4072"/>
    <w:rsid w:val="005F5B08"/>
    <w:rsid w:val="005F7BDB"/>
    <w:rsid w:val="00600515"/>
    <w:rsid w:val="0060225A"/>
    <w:rsid w:val="00605DC0"/>
    <w:rsid w:val="0061112C"/>
    <w:rsid w:val="00612D92"/>
    <w:rsid w:val="0061413E"/>
    <w:rsid w:val="006148C0"/>
    <w:rsid w:val="00615224"/>
    <w:rsid w:val="00617E25"/>
    <w:rsid w:val="0062188C"/>
    <w:rsid w:val="00623897"/>
    <w:rsid w:val="006269A2"/>
    <w:rsid w:val="006335F7"/>
    <w:rsid w:val="00634CCB"/>
    <w:rsid w:val="00637059"/>
    <w:rsid w:val="0064038C"/>
    <w:rsid w:val="00640AEE"/>
    <w:rsid w:val="00640D21"/>
    <w:rsid w:val="00641078"/>
    <w:rsid w:val="006412EE"/>
    <w:rsid w:val="00641D18"/>
    <w:rsid w:val="006434F7"/>
    <w:rsid w:val="00647247"/>
    <w:rsid w:val="0065203E"/>
    <w:rsid w:val="00655834"/>
    <w:rsid w:val="00657C63"/>
    <w:rsid w:val="00664292"/>
    <w:rsid w:val="00664B9D"/>
    <w:rsid w:val="006678FF"/>
    <w:rsid w:val="0067010E"/>
    <w:rsid w:val="0067332B"/>
    <w:rsid w:val="00677DE1"/>
    <w:rsid w:val="00684C44"/>
    <w:rsid w:val="00686BA3"/>
    <w:rsid w:val="00690E79"/>
    <w:rsid w:val="00691D7B"/>
    <w:rsid w:val="006924EA"/>
    <w:rsid w:val="00693A2E"/>
    <w:rsid w:val="006A07E2"/>
    <w:rsid w:val="006A4553"/>
    <w:rsid w:val="006A7800"/>
    <w:rsid w:val="006B20F9"/>
    <w:rsid w:val="006B51EA"/>
    <w:rsid w:val="006B5B91"/>
    <w:rsid w:val="006B5CCD"/>
    <w:rsid w:val="006C09E2"/>
    <w:rsid w:val="006C15D3"/>
    <w:rsid w:val="006C398F"/>
    <w:rsid w:val="006C5D33"/>
    <w:rsid w:val="006C78E7"/>
    <w:rsid w:val="006D129E"/>
    <w:rsid w:val="006D66D4"/>
    <w:rsid w:val="006E4C91"/>
    <w:rsid w:val="006E4DA7"/>
    <w:rsid w:val="006E53D1"/>
    <w:rsid w:val="006E5FD5"/>
    <w:rsid w:val="006F07CC"/>
    <w:rsid w:val="006F567F"/>
    <w:rsid w:val="00700BD0"/>
    <w:rsid w:val="00703AC6"/>
    <w:rsid w:val="007062B8"/>
    <w:rsid w:val="007062DA"/>
    <w:rsid w:val="00711107"/>
    <w:rsid w:val="00716AFF"/>
    <w:rsid w:val="007253C5"/>
    <w:rsid w:val="0072553D"/>
    <w:rsid w:val="0072642D"/>
    <w:rsid w:val="00732C0A"/>
    <w:rsid w:val="00734D09"/>
    <w:rsid w:val="00735B32"/>
    <w:rsid w:val="00735D13"/>
    <w:rsid w:val="00736AB5"/>
    <w:rsid w:val="007410BE"/>
    <w:rsid w:val="0074352E"/>
    <w:rsid w:val="00744EAD"/>
    <w:rsid w:val="00746030"/>
    <w:rsid w:val="0074660D"/>
    <w:rsid w:val="007471A3"/>
    <w:rsid w:val="007471FD"/>
    <w:rsid w:val="007526B8"/>
    <w:rsid w:val="00754381"/>
    <w:rsid w:val="0075551F"/>
    <w:rsid w:val="00757CDB"/>
    <w:rsid w:val="0076195E"/>
    <w:rsid w:val="00761D67"/>
    <w:rsid w:val="00767BE6"/>
    <w:rsid w:val="00780281"/>
    <w:rsid w:val="00783AFA"/>
    <w:rsid w:val="00785B34"/>
    <w:rsid w:val="00785D5D"/>
    <w:rsid w:val="007864E1"/>
    <w:rsid w:val="00787BF6"/>
    <w:rsid w:val="00792616"/>
    <w:rsid w:val="00795FCC"/>
    <w:rsid w:val="007A03F4"/>
    <w:rsid w:val="007A0D2F"/>
    <w:rsid w:val="007A3D01"/>
    <w:rsid w:val="007A4943"/>
    <w:rsid w:val="007A6872"/>
    <w:rsid w:val="007B0632"/>
    <w:rsid w:val="007B10BE"/>
    <w:rsid w:val="007B10E6"/>
    <w:rsid w:val="007B24EF"/>
    <w:rsid w:val="007B40EA"/>
    <w:rsid w:val="007B4351"/>
    <w:rsid w:val="007B55A8"/>
    <w:rsid w:val="007C0B3F"/>
    <w:rsid w:val="007C0EF5"/>
    <w:rsid w:val="007C24AA"/>
    <w:rsid w:val="007C6685"/>
    <w:rsid w:val="007C68C8"/>
    <w:rsid w:val="007D1216"/>
    <w:rsid w:val="007D410C"/>
    <w:rsid w:val="007D594E"/>
    <w:rsid w:val="007D6BA1"/>
    <w:rsid w:val="007D6CA0"/>
    <w:rsid w:val="007E0C20"/>
    <w:rsid w:val="007E1539"/>
    <w:rsid w:val="007E2C9A"/>
    <w:rsid w:val="007E4A89"/>
    <w:rsid w:val="007E7AAB"/>
    <w:rsid w:val="007F1679"/>
    <w:rsid w:val="00803478"/>
    <w:rsid w:val="00806A48"/>
    <w:rsid w:val="008077FD"/>
    <w:rsid w:val="00813C7E"/>
    <w:rsid w:val="00814112"/>
    <w:rsid w:val="00817697"/>
    <w:rsid w:val="008203B7"/>
    <w:rsid w:val="00821925"/>
    <w:rsid w:val="00822D44"/>
    <w:rsid w:val="0082573E"/>
    <w:rsid w:val="00827916"/>
    <w:rsid w:val="00832F0D"/>
    <w:rsid w:val="00834701"/>
    <w:rsid w:val="00834A4A"/>
    <w:rsid w:val="0083536F"/>
    <w:rsid w:val="00840A4B"/>
    <w:rsid w:val="00840BD0"/>
    <w:rsid w:val="00843135"/>
    <w:rsid w:val="00851517"/>
    <w:rsid w:val="008530E2"/>
    <w:rsid w:val="00856E06"/>
    <w:rsid w:val="00857DC0"/>
    <w:rsid w:val="00860FF4"/>
    <w:rsid w:val="00861B06"/>
    <w:rsid w:val="00861C5E"/>
    <w:rsid w:val="008623DF"/>
    <w:rsid w:val="00863067"/>
    <w:rsid w:val="00863B55"/>
    <w:rsid w:val="0086533C"/>
    <w:rsid w:val="008674DC"/>
    <w:rsid w:val="00870BBF"/>
    <w:rsid w:val="008719D0"/>
    <w:rsid w:val="00872A1A"/>
    <w:rsid w:val="008732D7"/>
    <w:rsid w:val="00874080"/>
    <w:rsid w:val="00874212"/>
    <w:rsid w:val="00887751"/>
    <w:rsid w:val="00893DD7"/>
    <w:rsid w:val="0089767D"/>
    <w:rsid w:val="0089779E"/>
    <w:rsid w:val="00897C8B"/>
    <w:rsid w:val="008A00FC"/>
    <w:rsid w:val="008A2DF9"/>
    <w:rsid w:val="008A36F0"/>
    <w:rsid w:val="008A50EE"/>
    <w:rsid w:val="008B0EE2"/>
    <w:rsid w:val="008B1E52"/>
    <w:rsid w:val="008B37B9"/>
    <w:rsid w:val="008B39B6"/>
    <w:rsid w:val="008B6493"/>
    <w:rsid w:val="008B6B5D"/>
    <w:rsid w:val="008B7C72"/>
    <w:rsid w:val="008C0AAE"/>
    <w:rsid w:val="008C1BE6"/>
    <w:rsid w:val="008C3189"/>
    <w:rsid w:val="008C5BAF"/>
    <w:rsid w:val="008C6D29"/>
    <w:rsid w:val="008C6D93"/>
    <w:rsid w:val="008D162B"/>
    <w:rsid w:val="008D394E"/>
    <w:rsid w:val="008D4B59"/>
    <w:rsid w:val="008E675E"/>
    <w:rsid w:val="008F097B"/>
    <w:rsid w:val="008F1948"/>
    <w:rsid w:val="009032C6"/>
    <w:rsid w:val="00903789"/>
    <w:rsid w:val="00903CE4"/>
    <w:rsid w:val="00907252"/>
    <w:rsid w:val="009126C9"/>
    <w:rsid w:val="0091670E"/>
    <w:rsid w:val="0092290B"/>
    <w:rsid w:val="00926E3C"/>
    <w:rsid w:val="00931677"/>
    <w:rsid w:val="00934F6E"/>
    <w:rsid w:val="00942FE7"/>
    <w:rsid w:val="00943421"/>
    <w:rsid w:val="00944FE9"/>
    <w:rsid w:val="00956431"/>
    <w:rsid w:val="009602A0"/>
    <w:rsid w:val="00961B71"/>
    <w:rsid w:val="009625E7"/>
    <w:rsid w:val="00964516"/>
    <w:rsid w:val="00965223"/>
    <w:rsid w:val="00965534"/>
    <w:rsid w:val="00966AA1"/>
    <w:rsid w:val="00971FBB"/>
    <w:rsid w:val="009725A6"/>
    <w:rsid w:val="009747E7"/>
    <w:rsid w:val="00977DD5"/>
    <w:rsid w:val="0098401E"/>
    <w:rsid w:val="00984082"/>
    <w:rsid w:val="00984A1C"/>
    <w:rsid w:val="00997620"/>
    <w:rsid w:val="0099781D"/>
    <w:rsid w:val="009A0811"/>
    <w:rsid w:val="009A1ABC"/>
    <w:rsid w:val="009A341B"/>
    <w:rsid w:val="009A5942"/>
    <w:rsid w:val="009A6077"/>
    <w:rsid w:val="009A6A1D"/>
    <w:rsid w:val="009B0893"/>
    <w:rsid w:val="009B08D0"/>
    <w:rsid w:val="009B0E98"/>
    <w:rsid w:val="009B2198"/>
    <w:rsid w:val="009B3591"/>
    <w:rsid w:val="009B4B55"/>
    <w:rsid w:val="009C4BB4"/>
    <w:rsid w:val="009C5AD7"/>
    <w:rsid w:val="009C733C"/>
    <w:rsid w:val="009D2C36"/>
    <w:rsid w:val="009D40E4"/>
    <w:rsid w:val="009D5CF2"/>
    <w:rsid w:val="009D7CFA"/>
    <w:rsid w:val="009E0270"/>
    <w:rsid w:val="009E2439"/>
    <w:rsid w:val="009E3BC8"/>
    <w:rsid w:val="009E41FE"/>
    <w:rsid w:val="009E4C6A"/>
    <w:rsid w:val="009E5E92"/>
    <w:rsid w:val="009E78F8"/>
    <w:rsid w:val="009E7C58"/>
    <w:rsid w:val="009F044A"/>
    <w:rsid w:val="009F184B"/>
    <w:rsid w:val="009F48B9"/>
    <w:rsid w:val="009F6499"/>
    <w:rsid w:val="00A00CAE"/>
    <w:rsid w:val="00A03868"/>
    <w:rsid w:val="00A110D0"/>
    <w:rsid w:val="00A1195B"/>
    <w:rsid w:val="00A1322C"/>
    <w:rsid w:val="00A173E6"/>
    <w:rsid w:val="00A204C2"/>
    <w:rsid w:val="00A22427"/>
    <w:rsid w:val="00A22B24"/>
    <w:rsid w:val="00A30603"/>
    <w:rsid w:val="00A348D9"/>
    <w:rsid w:val="00A36105"/>
    <w:rsid w:val="00A4076F"/>
    <w:rsid w:val="00A420A7"/>
    <w:rsid w:val="00A425AE"/>
    <w:rsid w:val="00A4381C"/>
    <w:rsid w:val="00A43BA5"/>
    <w:rsid w:val="00A4468F"/>
    <w:rsid w:val="00A468F9"/>
    <w:rsid w:val="00A47BBD"/>
    <w:rsid w:val="00A5217E"/>
    <w:rsid w:val="00A55332"/>
    <w:rsid w:val="00A55497"/>
    <w:rsid w:val="00A56761"/>
    <w:rsid w:val="00A57561"/>
    <w:rsid w:val="00A6159D"/>
    <w:rsid w:val="00A62B5E"/>
    <w:rsid w:val="00A6565A"/>
    <w:rsid w:val="00A65675"/>
    <w:rsid w:val="00A71677"/>
    <w:rsid w:val="00A74031"/>
    <w:rsid w:val="00A8212B"/>
    <w:rsid w:val="00A82363"/>
    <w:rsid w:val="00A82D34"/>
    <w:rsid w:val="00A83914"/>
    <w:rsid w:val="00A83F0B"/>
    <w:rsid w:val="00A86C69"/>
    <w:rsid w:val="00A9036B"/>
    <w:rsid w:val="00A94B8D"/>
    <w:rsid w:val="00A95F03"/>
    <w:rsid w:val="00AA0073"/>
    <w:rsid w:val="00AA320A"/>
    <w:rsid w:val="00AA3559"/>
    <w:rsid w:val="00AA4BD7"/>
    <w:rsid w:val="00AA4C1F"/>
    <w:rsid w:val="00AC26A2"/>
    <w:rsid w:val="00AC3142"/>
    <w:rsid w:val="00AC42C6"/>
    <w:rsid w:val="00AC65FF"/>
    <w:rsid w:val="00AD4FF9"/>
    <w:rsid w:val="00AE123F"/>
    <w:rsid w:val="00AE6E18"/>
    <w:rsid w:val="00AF0371"/>
    <w:rsid w:val="00AF2CDD"/>
    <w:rsid w:val="00AF546B"/>
    <w:rsid w:val="00B0096B"/>
    <w:rsid w:val="00B00DDE"/>
    <w:rsid w:val="00B020C6"/>
    <w:rsid w:val="00B04A76"/>
    <w:rsid w:val="00B04C02"/>
    <w:rsid w:val="00B11E0E"/>
    <w:rsid w:val="00B1280C"/>
    <w:rsid w:val="00B13691"/>
    <w:rsid w:val="00B15DC2"/>
    <w:rsid w:val="00B200BE"/>
    <w:rsid w:val="00B20A11"/>
    <w:rsid w:val="00B22664"/>
    <w:rsid w:val="00B26D52"/>
    <w:rsid w:val="00B30163"/>
    <w:rsid w:val="00B3026A"/>
    <w:rsid w:val="00B44C0B"/>
    <w:rsid w:val="00B47E35"/>
    <w:rsid w:val="00B50CA5"/>
    <w:rsid w:val="00B50F47"/>
    <w:rsid w:val="00B5158D"/>
    <w:rsid w:val="00B517E7"/>
    <w:rsid w:val="00B56624"/>
    <w:rsid w:val="00B60393"/>
    <w:rsid w:val="00B64098"/>
    <w:rsid w:val="00B64329"/>
    <w:rsid w:val="00B656F8"/>
    <w:rsid w:val="00B7097B"/>
    <w:rsid w:val="00B75251"/>
    <w:rsid w:val="00B75D9D"/>
    <w:rsid w:val="00B76BF4"/>
    <w:rsid w:val="00B83F77"/>
    <w:rsid w:val="00B84DC1"/>
    <w:rsid w:val="00B86B54"/>
    <w:rsid w:val="00B870BC"/>
    <w:rsid w:val="00B879FB"/>
    <w:rsid w:val="00B909B1"/>
    <w:rsid w:val="00B90A2F"/>
    <w:rsid w:val="00B91DD3"/>
    <w:rsid w:val="00B94416"/>
    <w:rsid w:val="00B97F21"/>
    <w:rsid w:val="00BA1BE1"/>
    <w:rsid w:val="00BA3303"/>
    <w:rsid w:val="00BA3BA5"/>
    <w:rsid w:val="00BA602B"/>
    <w:rsid w:val="00BB18A8"/>
    <w:rsid w:val="00BB1CCB"/>
    <w:rsid w:val="00BB1F4F"/>
    <w:rsid w:val="00BB22BE"/>
    <w:rsid w:val="00BB3A94"/>
    <w:rsid w:val="00BB3DF9"/>
    <w:rsid w:val="00BB44EB"/>
    <w:rsid w:val="00BB5AF4"/>
    <w:rsid w:val="00BC3A2D"/>
    <w:rsid w:val="00BC604C"/>
    <w:rsid w:val="00BC6B4B"/>
    <w:rsid w:val="00BD1FAB"/>
    <w:rsid w:val="00BD40D2"/>
    <w:rsid w:val="00BE0312"/>
    <w:rsid w:val="00BE2582"/>
    <w:rsid w:val="00BE45CE"/>
    <w:rsid w:val="00BE5BEB"/>
    <w:rsid w:val="00BF0790"/>
    <w:rsid w:val="00BF0911"/>
    <w:rsid w:val="00BF099A"/>
    <w:rsid w:val="00BF20E5"/>
    <w:rsid w:val="00BF2418"/>
    <w:rsid w:val="00BF2891"/>
    <w:rsid w:val="00BF4F66"/>
    <w:rsid w:val="00BF53BD"/>
    <w:rsid w:val="00C06073"/>
    <w:rsid w:val="00C11B59"/>
    <w:rsid w:val="00C136F6"/>
    <w:rsid w:val="00C147C1"/>
    <w:rsid w:val="00C22A9C"/>
    <w:rsid w:val="00C23381"/>
    <w:rsid w:val="00C24CF7"/>
    <w:rsid w:val="00C272F0"/>
    <w:rsid w:val="00C44A99"/>
    <w:rsid w:val="00C4638E"/>
    <w:rsid w:val="00C47E66"/>
    <w:rsid w:val="00C52767"/>
    <w:rsid w:val="00C53BA8"/>
    <w:rsid w:val="00C543A5"/>
    <w:rsid w:val="00C5513B"/>
    <w:rsid w:val="00C567F4"/>
    <w:rsid w:val="00C6042C"/>
    <w:rsid w:val="00C6205D"/>
    <w:rsid w:val="00C620C6"/>
    <w:rsid w:val="00C67E3A"/>
    <w:rsid w:val="00C73A95"/>
    <w:rsid w:val="00C7465A"/>
    <w:rsid w:val="00C76C9C"/>
    <w:rsid w:val="00C77619"/>
    <w:rsid w:val="00C77621"/>
    <w:rsid w:val="00C80391"/>
    <w:rsid w:val="00C81A33"/>
    <w:rsid w:val="00C84425"/>
    <w:rsid w:val="00C85CFF"/>
    <w:rsid w:val="00C901CF"/>
    <w:rsid w:val="00C90E4A"/>
    <w:rsid w:val="00C9391B"/>
    <w:rsid w:val="00C94D84"/>
    <w:rsid w:val="00C9572B"/>
    <w:rsid w:val="00CA2989"/>
    <w:rsid w:val="00CA4026"/>
    <w:rsid w:val="00CB06B3"/>
    <w:rsid w:val="00CB24E2"/>
    <w:rsid w:val="00CC2AAA"/>
    <w:rsid w:val="00CC32A8"/>
    <w:rsid w:val="00CC4A8F"/>
    <w:rsid w:val="00CC66D7"/>
    <w:rsid w:val="00CC6F12"/>
    <w:rsid w:val="00CC7268"/>
    <w:rsid w:val="00CD1084"/>
    <w:rsid w:val="00CD4B8E"/>
    <w:rsid w:val="00CE3641"/>
    <w:rsid w:val="00CE397C"/>
    <w:rsid w:val="00CE5599"/>
    <w:rsid w:val="00CF3E3A"/>
    <w:rsid w:val="00CF4AD6"/>
    <w:rsid w:val="00CF51EB"/>
    <w:rsid w:val="00CF61AB"/>
    <w:rsid w:val="00D0101E"/>
    <w:rsid w:val="00D012C8"/>
    <w:rsid w:val="00D02162"/>
    <w:rsid w:val="00D03450"/>
    <w:rsid w:val="00D04E67"/>
    <w:rsid w:val="00D05E7E"/>
    <w:rsid w:val="00D0704C"/>
    <w:rsid w:val="00D0745C"/>
    <w:rsid w:val="00D07CDA"/>
    <w:rsid w:val="00D11343"/>
    <w:rsid w:val="00D12EEE"/>
    <w:rsid w:val="00D15790"/>
    <w:rsid w:val="00D23641"/>
    <w:rsid w:val="00D257EE"/>
    <w:rsid w:val="00D31CCA"/>
    <w:rsid w:val="00D32096"/>
    <w:rsid w:val="00D3340B"/>
    <w:rsid w:val="00D3489C"/>
    <w:rsid w:val="00D41C66"/>
    <w:rsid w:val="00D4282D"/>
    <w:rsid w:val="00D5080A"/>
    <w:rsid w:val="00D509BC"/>
    <w:rsid w:val="00D51CC4"/>
    <w:rsid w:val="00D5346D"/>
    <w:rsid w:val="00D552A6"/>
    <w:rsid w:val="00D56513"/>
    <w:rsid w:val="00D56CEC"/>
    <w:rsid w:val="00D613F6"/>
    <w:rsid w:val="00D64758"/>
    <w:rsid w:val="00D64970"/>
    <w:rsid w:val="00D65747"/>
    <w:rsid w:val="00D65FC4"/>
    <w:rsid w:val="00D665AB"/>
    <w:rsid w:val="00D67C2D"/>
    <w:rsid w:val="00D7042E"/>
    <w:rsid w:val="00D76C7C"/>
    <w:rsid w:val="00D778A2"/>
    <w:rsid w:val="00D81C78"/>
    <w:rsid w:val="00D8349C"/>
    <w:rsid w:val="00D85BF7"/>
    <w:rsid w:val="00D90AAA"/>
    <w:rsid w:val="00D92579"/>
    <w:rsid w:val="00D92D52"/>
    <w:rsid w:val="00D94433"/>
    <w:rsid w:val="00D954D8"/>
    <w:rsid w:val="00DA065C"/>
    <w:rsid w:val="00DA12FB"/>
    <w:rsid w:val="00DA1C5D"/>
    <w:rsid w:val="00DA24D2"/>
    <w:rsid w:val="00DA2B69"/>
    <w:rsid w:val="00DA4E6D"/>
    <w:rsid w:val="00DB2D86"/>
    <w:rsid w:val="00DC4C15"/>
    <w:rsid w:val="00DC5431"/>
    <w:rsid w:val="00DC64DC"/>
    <w:rsid w:val="00DC73D3"/>
    <w:rsid w:val="00DC743A"/>
    <w:rsid w:val="00DD2C80"/>
    <w:rsid w:val="00DD5DDF"/>
    <w:rsid w:val="00DD6314"/>
    <w:rsid w:val="00DE0B5C"/>
    <w:rsid w:val="00DE0D62"/>
    <w:rsid w:val="00DE563A"/>
    <w:rsid w:val="00DF336F"/>
    <w:rsid w:val="00DF402D"/>
    <w:rsid w:val="00DF6D6F"/>
    <w:rsid w:val="00E00720"/>
    <w:rsid w:val="00E01171"/>
    <w:rsid w:val="00E02111"/>
    <w:rsid w:val="00E047BF"/>
    <w:rsid w:val="00E06082"/>
    <w:rsid w:val="00E15E95"/>
    <w:rsid w:val="00E15FE6"/>
    <w:rsid w:val="00E17C29"/>
    <w:rsid w:val="00E17E57"/>
    <w:rsid w:val="00E2045E"/>
    <w:rsid w:val="00E21CD7"/>
    <w:rsid w:val="00E21DC6"/>
    <w:rsid w:val="00E23900"/>
    <w:rsid w:val="00E23CDB"/>
    <w:rsid w:val="00E26D0C"/>
    <w:rsid w:val="00E31057"/>
    <w:rsid w:val="00E335AE"/>
    <w:rsid w:val="00E3655E"/>
    <w:rsid w:val="00E36C09"/>
    <w:rsid w:val="00E377FD"/>
    <w:rsid w:val="00E44ACC"/>
    <w:rsid w:val="00E46206"/>
    <w:rsid w:val="00E50DA4"/>
    <w:rsid w:val="00E5184B"/>
    <w:rsid w:val="00E53F86"/>
    <w:rsid w:val="00E70983"/>
    <w:rsid w:val="00E71208"/>
    <w:rsid w:val="00E733A3"/>
    <w:rsid w:val="00E7368A"/>
    <w:rsid w:val="00E7482A"/>
    <w:rsid w:val="00E74D4E"/>
    <w:rsid w:val="00E834E9"/>
    <w:rsid w:val="00E86055"/>
    <w:rsid w:val="00E906EF"/>
    <w:rsid w:val="00E911BA"/>
    <w:rsid w:val="00E94315"/>
    <w:rsid w:val="00E966EE"/>
    <w:rsid w:val="00E96FB6"/>
    <w:rsid w:val="00EA15E5"/>
    <w:rsid w:val="00EA6C30"/>
    <w:rsid w:val="00EB1F16"/>
    <w:rsid w:val="00EB26FC"/>
    <w:rsid w:val="00EB2EB0"/>
    <w:rsid w:val="00EB3232"/>
    <w:rsid w:val="00EB74A9"/>
    <w:rsid w:val="00EC5AFA"/>
    <w:rsid w:val="00EC6196"/>
    <w:rsid w:val="00ED005B"/>
    <w:rsid w:val="00ED00DA"/>
    <w:rsid w:val="00ED0202"/>
    <w:rsid w:val="00ED03BE"/>
    <w:rsid w:val="00ED0C93"/>
    <w:rsid w:val="00ED12F1"/>
    <w:rsid w:val="00ED28BF"/>
    <w:rsid w:val="00ED4785"/>
    <w:rsid w:val="00ED6B7E"/>
    <w:rsid w:val="00ED7649"/>
    <w:rsid w:val="00ED78E0"/>
    <w:rsid w:val="00EE083A"/>
    <w:rsid w:val="00EE5219"/>
    <w:rsid w:val="00EE7219"/>
    <w:rsid w:val="00EF059A"/>
    <w:rsid w:val="00EF07AE"/>
    <w:rsid w:val="00EF297C"/>
    <w:rsid w:val="00EF2C67"/>
    <w:rsid w:val="00EF3E7E"/>
    <w:rsid w:val="00EF4B48"/>
    <w:rsid w:val="00EF5A44"/>
    <w:rsid w:val="00EF5EBF"/>
    <w:rsid w:val="00F022CC"/>
    <w:rsid w:val="00F03C5D"/>
    <w:rsid w:val="00F03F92"/>
    <w:rsid w:val="00F06080"/>
    <w:rsid w:val="00F064A7"/>
    <w:rsid w:val="00F06596"/>
    <w:rsid w:val="00F12AF5"/>
    <w:rsid w:val="00F12EDA"/>
    <w:rsid w:val="00F1671B"/>
    <w:rsid w:val="00F20E94"/>
    <w:rsid w:val="00F21F19"/>
    <w:rsid w:val="00F226D3"/>
    <w:rsid w:val="00F227F6"/>
    <w:rsid w:val="00F23FCB"/>
    <w:rsid w:val="00F25BCD"/>
    <w:rsid w:val="00F2668D"/>
    <w:rsid w:val="00F313EB"/>
    <w:rsid w:val="00F367B2"/>
    <w:rsid w:val="00F36FEF"/>
    <w:rsid w:val="00F4305F"/>
    <w:rsid w:val="00F44402"/>
    <w:rsid w:val="00F4456D"/>
    <w:rsid w:val="00F44B92"/>
    <w:rsid w:val="00F456B1"/>
    <w:rsid w:val="00F45970"/>
    <w:rsid w:val="00F4642C"/>
    <w:rsid w:val="00F465BD"/>
    <w:rsid w:val="00F46BF4"/>
    <w:rsid w:val="00F47C03"/>
    <w:rsid w:val="00F50919"/>
    <w:rsid w:val="00F50FC9"/>
    <w:rsid w:val="00F516A7"/>
    <w:rsid w:val="00F52381"/>
    <w:rsid w:val="00F524D0"/>
    <w:rsid w:val="00F53FC8"/>
    <w:rsid w:val="00F578D5"/>
    <w:rsid w:val="00F60245"/>
    <w:rsid w:val="00F611C5"/>
    <w:rsid w:val="00F61483"/>
    <w:rsid w:val="00F61623"/>
    <w:rsid w:val="00F716BF"/>
    <w:rsid w:val="00F71C5A"/>
    <w:rsid w:val="00F732F6"/>
    <w:rsid w:val="00F73376"/>
    <w:rsid w:val="00F746A0"/>
    <w:rsid w:val="00F76BA5"/>
    <w:rsid w:val="00F77E82"/>
    <w:rsid w:val="00F84789"/>
    <w:rsid w:val="00F904C6"/>
    <w:rsid w:val="00F93EDD"/>
    <w:rsid w:val="00F9532F"/>
    <w:rsid w:val="00F95D3A"/>
    <w:rsid w:val="00FA1712"/>
    <w:rsid w:val="00FA327B"/>
    <w:rsid w:val="00FA49C2"/>
    <w:rsid w:val="00FA4DAA"/>
    <w:rsid w:val="00FA5454"/>
    <w:rsid w:val="00FA7781"/>
    <w:rsid w:val="00FB0CB7"/>
    <w:rsid w:val="00FB1E69"/>
    <w:rsid w:val="00FB2E1A"/>
    <w:rsid w:val="00FB3079"/>
    <w:rsid w:val="00FB47F2"/>
    <w:rsid w:val="00FB5345"/>
    <w:rsid w:val="00FC13D4"/>
    <w:rsid w:val="00FC1B98"/>
    <w:rsid w:val="00FC1E45"/>
    <w:rsid w:val="00FC3F86"/>
    <w:rsid w:val="00FC563A"/>
    <w:rsid w:val="00FC58EC"/>
    <w:rsid w:val="00FC5F71"/>
    <w:rsid w:val="00FC674D"/>
    <w:rsid w:val="00FC685B"/>
    <w:rsid w:val="00FD3D55"/>
    <w:rsid w:val="00FD4AA9"/>
    <w:rsid w:val="00FD686A"/>
    <w:rsid w:val="00FE0177"/>
    <w:rsid w:val="00FE1664"/>
    <w:rsid w:val="00FE61BF"/>
    <w:rsid w:val="00FF2052"/>
    <w:rsid w:val="00FF21A7"/>
    <w:rsid w:val="00FF2EE6"/>
    <w:rsid w:val="5A056A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41951"/>
  <w15:docId w15:val="{A3A6369D-E546-4EEC-91FC-584A8119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imes New Roman" w:hAnsi="Georgia"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EDD"/>
    <w:pPr>
      <w:spacing w:line="276" w:lineRule="auto"/>
    </w:pPr>
  </w:style>
  <w:style w:type="paragraph" w:styleId="Heading1">
    <w:name w:val="heading 1"/>
    <w:basedOn w:val="Normal"/>
    <w:next w:val="Normal"/>
    <w:link w:val="Heading1Char"/>
    <w:qFormat/>
    <w:rsid w:val="0087408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7408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86FE0"/>
    <w:pPr>
      <w:keepNext/>
      <w:keepLines/>
      <w:spacing w:after="240" w:line="240" w:lineRule="auto"/>
      <w:outlineLvl w:val="2"/>
    </w:pPr>
    <w:rPr>
      <w:rFonts w:ascii="Times New Roman" w:eastAsiaTheme="majorEastAsia" w:hAnsi="Times New Roman" w:cstheme="majorBidi"/>
      <w:i/>
      <w:sz w:val="24"/>
      <w:szCs w:val="24"/>
    </w:rPr>
  </w:style>
  <w:style w:type="paragraph" w:styleId="Heading5">
    <w:name w:val="heading 5"/>
    <w:basedOn w:val="Normal"/>
    <w:next w:val="Normal"/>
    <w:qFormat/>
    <w:rsid w:val="008530E2"/>
    <w:pPr>
      <w:keepNext/>
      <w:outlineLvl w:val="4"/>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74080"/>
    <w:rPr>
      <w:rFonts w:ascii="Arial" w:hAnsi="Arial" w:cs="Arial"/>
      <w:b/>
      <w:bCs/>
      <w:kern w:val="32"/>
      <w:sz w:val="32"/>
      <w:szCs w:val="32"/>
    </w:rPr>
  </w:style>
  <w:style w:type="character" w:customStyle="1" w:styleId="Heading2Char">
    <w:name w:val="Heading 2 Char"/>
    <w:link w:val="Heading2"/>
    <w:rsid w:val="00874080"/>
    <w:rPr>
      <w:rFonts w:ascii="Arial" w:hAnsi="Arial" w:cs="Arial"/>
      <w:b/>
      <w:bCs/>
      <w:i/>
      <w:iCs/>
      <w:sz w:val="28"/>
      <w:szCs w:val="28"/>
    </w:rPr>
  </w:style>
  <w:style w:type="character" w:customStyle="1" w:styleId="Heading3Char">
    <w:name w:val="Heading 3 Char"/>
    <w:basedOn w:val="DefaultParagraphFont"/>
    <w:link w:val="Heading3"/>
    <w:rsid w:val="00086FE0"/>
    <w:rPr>
      <w:rFonts w:ascii="Times New Roman" w:eastAsiaTheme="majorEastAsia" w:hAnsi="Times New Roman" w:cstheme="majorBidi"/>
      <w:i/>
      <w:sz w:val="24"/>
      <w:szCs w:val="24"/>
    </w:rPr>
  </w:style>
  <w:style w:type="paragraph" w:styleId="Header">
    <w:name w:val="header"/>
    <w:basedOn w:val="Normal"/>
    <w:link w:val="HeaderChar"/>
    <w:uiPriority w:val="99"/>
    <w:rsid w:val="008530E2"/>
    <w:pPr>
      <w:tabs>
        <w:tab w:val="center" w:pos="4320"/>
        <w:tab w:val="right" w:pos="8640"/>
      </w:tabs>
    </w:pPr>
  </w:style>
  <w:style w:type="character" w:customStyle="1" w:styleId="HeaderChar">
    <w:name w:val="Header Char"/>
    <w:link w:val="Header"/>
    <w:uiPriority w:val="99"/>
    <w:rsid w:val="008530E2"/>
    <w:rPr>
      <w:sz w:val="24"/>
    </w:rPr>
  </w:style>
  <w:style w:type="paragraph" w:customStyle="1" w:styleId="17">
    <w:name w:val="_17"/>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8530E2"/>
    <w:pPr>
      <w:widowControl w:val="0"/>
      <w:tabs>
        <w:tab w:val="left" w:pos="5760"/>
        <w:tab w:val="left" w:pos="6480"/>
        <w:tab w:val="left" w:pos="7200"/>
        <w:tab w:val="left" w:pos="7920"/>
        <w:tab w:val="left" w:pos="8640"/>
      </w:tabs>
      <w:ind w:left="5760"/>
    </w:pPr>
  </w:style>
  <w:style w:type="paragraph" w:customStyle="1" w:styleId="Level9">
    <w:name w:val="Level 9"/>
    <w:basedOn w:val="Normal"/>
    <w:rsid w:val="008530E2"/>
    <w:pPr>
      <w:widowControl w:val="0"/>
    </w:pPr>
  </w:style>
  <w:style w:type="paragraph" w:customStyle="1" w:styleId="Level1">
    <w:name w:val="Level 1"/>
    <w:basedOn w:val="Normal"/>
    <w:rsid w:val="008530E2"/>
    <w:pPr>
      <w:widowControl w:val="0"/>
    </w:pPr>
  </w:style>
  <w:style w:type="paragraph" w:customStyle="1" w:styleId="26">
    <w:name w:val="_26"/>
    <w:basedOn w:val="Normal"/>
    <w:rsid w:val="008530E2"/>
    <w:pPr>
      <w:widowControl w:val="0"/>
    </w:pPr>
  </w:style>
  <w:style w:type="paragraph" w:customStyle="1" w:styleId="25">
    <w:name w:val="_25"/>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8530E2"/>
    <w:pPr>
      <w:widowControl w:val="0"/>
      <w:tabs>
        <w:tab w:val="left" w:pos="5760"/>
        <w:tab w:val="left" w:pos="6480"/>
        <w:tab w:val="left" w:pos="7200"/>
        <w:tab w:val="left" w:pos="7920"/>
        <w:tab w:val="left" w:pos="8640"/>
      </w:tabs>
      <w:ind w:left="5760"/>
    </w:pPr>
  </w:style>
  <w:style w:type="paragraph" w:customStyle="1" w:styleId="18">
    <w:name w:val="_18"/>
    <w:basedOn w:val="Normal"/>
    <w:rsid w:val="008530E2"/>
    <w:pPr>
      <w:widowControl w:val="0"/>
      <w:tabs>
        <w:tab w:val="left" w:pos="6480"/>
        <w:tab w:val="left" w:pos="7200"/>
        <w:tab w:val="left" w:pos="7920"/>
        <w:tab w:val="left" w:pos="8640"/>
      </w:tabs>
      <w:ind w:left="6480"/>
    </w:pPr>
  </w:style>
  <w:style w:type="paragraph" w:customStyle="1" w:styleId="9">
    <w:name w:val="_9"/>
    <w:basedOn w:val="Normal"/>
    <w:rsid w:val="008530E2"/>
    <w:pPr>
      <w:widowControl w:val="0"/>
      <w:tabs>
        <w:tab w:val="left" w:pos="6480"/>
        <w:tab w:val="left" w:pos="7200"/>
        <w:tab w:val="left" w:pos="7920"/>
        <w:tab w:val="left" w:pos="8640"/>
      </w:tabs>
      <w:ind w:left="6480"/>
    </w:pPr>
  </w:style>
  <w:style w:type="paragraph" w:customStyle="1" w:styleId="8">
    <w:name w:val="_8"/>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8530E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8530E2"/>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8530E2"/>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8530E2"/>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8530E2"/>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8530E2"/>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8530E2"/>
    <w:pPr>
      <w:widowControl w:val="0"/>
      <w:tabs>
        <w:tab w:val="left" w:pos="5760"/>
        <w:tab w:val="left" w:pos="6480"/>
        <w:tab w:val="left" w:pos="7200"/>
        <w:tab w:val="left" w:pos="7920"/>
        <w:tab w:val="left" w:pos="8640"/>
      </w:tabs>
      <w:ind w:left="5760"/>
    </w:pPr>
  </w:style>
  <w:style w:type="paragraph" w:customStyle="1" w:styleId="a">
    <w:name w:val="_"/>
    <w:basedOn w:val="Normal"/>
    <w:rsid w:val="008530E2"/>
    <w:pPr>
      <w:widowControl w:val="0"/>
      <w:tabs>
        <w:tab w:val="left" w:pos="6480"/>
        <w:tab w:val="left" w:pos="7200"/>
        <w:tab w:val="left" w:pos="7920"/>
        <w:tab w:val="left" w:pos="8640"/>
      </w:tabs>
      <w:ind w:left="6480"/>
    </w:pPr>
  </w:style>
  <w:style w:type="paragraph" w:customStyle="1" w:styleId="Normal1">
    <w:name w:val="Normal1"/>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8530E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8530E2"/>
    <w:rPr>
      <w:i/>
    </w:rPr>
  </w:style>
  <w:style w:type="paragraph" w:customStyle="1" w:styleId="H1">
    <w:name w:val="H1"/>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8530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8530E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8530E2"/>
    <w:rPr>
      <w:i/>
    </w:rPr>
  </w:style>
  <w:style w:type="character" w:customStyle="1" w:styleId="CODE">
    <w:name w:val="CODE"/>
    <w:rsid w:val="008530E2"/>
    <w:rPr>
      <w:rFonts w:ascii="Courier New" w:hAnsi="Courier New"/>
      <w:sz w:val="20"/>
    </w:rPr>
  </w:style>
  <w:style w:type="character" w:customStyle="1" w:styleId="WP9Emphasis">
    <w:name w:val="WP9_Emphasis"/>
    <w:rsid w:val="008530E2"/>
    <w:rPr>
      <w:i/>
    </w:rPr>
  </w:style>
  <w:style w:type="character" w:customStyle="1" w:styleId="WP9Hyperlink">
    <w:name w:val="WP9_Hyperlink"/>
    <w:rsid w:val="008530E2"/>
    <w:rPr>
      <w:color w:val="0000FF"/>
      <w:u w:val="single"/>
    </w:rPr>
  </w:style>
  <w:style w:type="character" w:customStyle="1" w:styleId="FollowedHype">
    <w:name w:val="FollowedHype"/>
    <w:rsid w:val="008530E2"/>
    <w:rPr>
      <w:color w:val="800080"/>
      <w:u w:val="single"/>
    </w:rPr>
  </w:style>
  <w:style w:type="character" w:customStyle="1" w:styleId="Keyboard">
    <w:name w:val="Keyboard"/>
    <w:rsid w:val="008530E2"/>
    <w:rPr>
      <w:rFonts w:ascii="Courier New" w:hAnsi="Courier New"/>
      <w:b/>
      <w:sz w:val="20"/>
    </w:rPr>
  </w:style>
  <w:style w:type="paragraph" w:customStyle="1" w:styleId="Preformatted">
    <w:name w:val="Preformatted"/>
    <w:basedOn w:val="Normal"/>
    <w:rsid w:val="008530E2"/>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8530E2"/>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8530E2"/>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sid w:val="008530E2"/>
    <w:rPr>
      <w:rFonts w:ascii="Courier New" w:hAnsi="Courier New"/>
    </w:rPr>
  </w:style>
  <w:style w:type="character" w:customStyle="1" w:styleId="WP9Strong">
    <w:name w:val="WP9_Strong"/>
    <w:rsid w:val="008530E2"/>
    <w:rPr>
      <w:b/>
    </w:rPr>
  </w:style>
  <w:style w:type="character" w:customStyle="1" w:styleId="Typewriter">
    <w:name w:val="Typewriter"/>
    <w:rsid w:val="008530E2"/>
    <w:rPr>
      <w:rFonts w:ascii="Courier New" w:hAnsi="Courier New"/>
      <w:sz w:val="20"/>
    </w:rPr>
  </w:style>
  <w:style w:type="character" w:customStyle="1" w:styleId="Variable">
    <w:name w:val="Variable"/>
    <w:rsid w:val="008530E2"/>
    <w:rPr>
      <w:i/>
    </w:rPr>
  </w:style>
  <w:style w:type="character" w:customStyle="1" w:styleId="HTMLMarkup">
    <w:name w:val="HTML Markup"/>
    <w:rsid w:val="008530E2"/>
    <w:rPr>
      <w:vanish/>
      <w:color w:val="FF0000"/>
    </w:rPr>
  </w:style>
  <w:style w:type="character" w:customStyle="1" w:styleId="Comment">
    <w:name w:val="Comment"/>
    <w:rsid w:val="008530E2"/>
    <w:rPr>
      <w:vanish/>
    </w:rPr>
  </w:style>
  <w:style w:type="character" w:customStyle="1" w:styleId="DefaultPara">
    <w:name w:val="Default Para"/>
    <w:basedOn w:val="DefaultParagraphFont"/>
    <w:rsid w:val="008530E2"/>
  </w:style>
  <w:style w:type="paragraph" w:customStyle="1" w:styleId="110">
    <w:name w:val="11"/>
    <w:basedOn w:val="Normal"/>
    <w:rsid w:val="008530E2"/>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jc w:val="both"/>
    </w:pPr>
    <w:rPr>
      <w:sz w:val="20"/>
    </w:rPr>
  </w:style>
  <w:style w:type="paragraph" w:customStyle="1" w:styleId="annotationt">
    <w:name w:val="annotation t"/>
    <w:basedOn w:val="Normal"/>
    <w:rsid w:val="0085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 w:val="20"/>
    </w:rPr>
  </w:style>
  <w:style w:type="paragraph" w:customStyle="1" w:styleId="annotations">
    <w:name w:val="annotation s"/>
    <w:basedOn w:val="Normal"/>
    <w:rsid w:val="008530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b/>
      <w:sz w:val="20"/>
    </w:rPr>
  </w:style>
  <w:style w:type="character" w:customStyle="1" w:styleId="SYSHYPERTEXT">
    <w:name w:val="SYS_HYPERTEXT"/>
    <w:rsid w:val="008530E2"/>
    <w:rPr>
      <w:color w:val="0000FF"/>
      <w:u w:val="single"/>
    </w:rPr>
  </w:style>
  <w:style w:type="paragraph" w:styleId="Footer">
    <w:name w:val="footer"/>
    <w:basedOn w:val="Normal"/>
    <w:link w:val="FooterChar"/>
    <w:uiPriority w:val="99"/>
    <w:rsid w:val="008530E2"/>
    <w:pPr>
      <w:tabs>
        <w:tab w:val="center" w:pos="4320"/>
        <w:tab w:val="right" w:pos="8640"/>
      </w:tabs>
    </w:pPr>
  </w:style>
  <w:style w:type="character" w:customStyle="1" w:styleId="FooterChar">
    <w:name w:val="Footer Char"/>
    <w:link w:val="Footer"/>
    <w:uiPriority w:val="99"/>
    <w:rsid w:val="002C465F"/>
    <w:rPr>
      <w:sz w:val="24"/>
    </w:rPr>
  </w:style>
  <w:style w:type="character" w:styleId="PageNumber">
    <w:name w:val="page number"/>
    <w:basedOn w:val="DefaultParagraphFont"/>
    <w:rsid w:val="008530E2"/>
  </w:style>
  <w:style w:type="paragraph" w:customStyle="1" w:styleId="Level3">
    <w:name w:val="Level 3"/>
    <w:basedOn w:val="Normal"/>
    <w:rsid w:val="008530E2"/>
    <w:pPr>
      <w:widowControl w:val="0"/>
      <w:autoSpaceDE w:val="0"/>
      <w:autoSpaceDN w:val="0"/>
      <w:adjustRightInd w:val="0"/>
      <w:ind w:left="1080" w:hanging="360"/>
      <w:outlineLvl w:val="2"/>
    </w:pPr>
    <w:rPr>
      <w:szCs w:val="24"/>
    </w:rPr>
  </w:style>
  <w:style w:type="paragraph" w:styleId="BodyTextIndent2">
    <w:name w:val="Body Text Indent 2"/>
    <w:basedOn w:val="Normal"/>
    <w:rsid w:val="008530E2"/>
    <w:pPr>
      <w:ind w:left="720"/>
    </w:pPr>
    <w:rPr>
      <w:szCs w:val="24"/>
    </w:rPr>
  </w:style>
  <w:style w:type="character" w:styleId="Hyperlink">
    <w:name w:val="Hyperlink"/>
    <w:uiPriority w:val="99"/>
    <w:rsid w:val="008530E2"/>
    <w:rPr>
      <w:color w:val="0000FF"/>
      <w:u w:val="single"/>
    </w:rPr>
  </w:style>
  <w:style w:type="table" w:styleId="TableGrid">
    <w:name w:val="Table Grid"/>
    <w:basedOn w:val="TableNormal"/>
    <w:rsid w:val="0085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530E2"/>
    <w:rPr>
      <w:rFonts w:ascii="Tahoma" w:hAnsi="Tahoma" w:cs="Tahoma"/>
      <w:sz w:val="16"/>
      <w:szCs w:val="16"/>
    </w:rPr>
  </w:style>
  <w:style w:type="character" w:customStyle="1" w:styleId="BalloonTextChar">
    <w:name w:val="Balloon Text Char"/>
    <w:basedOn w:val="DefaultParagraphFont"/>
    <w:link w:val="BalloonText"/>
    <w:semiHidden/>
    <w:rsid w:val="00086FE0"/>
    <w:rPr>
      <w:rFonts w:ascii="Tahoma" w:hAnsi="Tahoma" w:cs="Tahoma"/>
      <w:sz w:val="16"/>
      <w:szCs w:val="16"/>
    </w:rPr>
  </w:style>
  <w:style w:type="character" w:styleId="CommentReference">
    <w:name w:val="annotation reference"/>
    <w:semiHidden/>
    <w:rsid w:val="008530E2"/>
    <w:rPr>
      <w:sz w:val="16"/>
      <w:szCs w:val="16"/>
    </w:rPr>
  </w:style>
  <w:style w:type="paragraph" w:styleId="CommentText">
    <w:name w:val="annotation text"/>
    <w:basedOn w:val="Normal"/>
    <w:link w:val="CommentTextChar"/>
    <w:semiHidden/>
    <w:rsid w:val="008530E2"/>
    <w:rPr>
      <w:sz w:val="20"/>
    </w:rPr>
  </w:style>
  <w:style w:type="character" w:customStyle="1" w:styleId="CommentTextChar">
    <w:name w:val="Comment Text Char"/>
    <w:basedOn w:val="DefaultParagraphFont"/>
    <w:link w:val="CommentText"/>
    <w:semiHidden/>
    <w:rsid w:val="00086FE0"/>
    <w:rPr>
      <w:sz w:val="20"/>
    </w:rPr>
  </w:style>
  <w:style w:type="paragraph" w:styleId="CommentSubject">
    <w:name w:val="annotation subject"/>
    <w:basedOn w:val="CommentText"/>
    <w:next w:val="CommentText"/>
    <w:link w:val="CommentSubjectChar"/>
    <w:semiHidden/>
    <w:rsid w:val="008530E2"/>
    <w:rPr>
      <w:b/>
      <w:bCs/>
    </w:rPr>
  </w:style>
  <w:style w:type="character" w:customStyle="1" w:styleId="CommentSubjectChar">
    <w:name w:val="Comment Subject Char"/>
    <w:basedOn w:val="CommentTextChar"/>
    <w:link w:val="CommentSubject"/>
    <w:semiHidden/>
    <w:rsid w:val="00086FE0"/>
    <w:rPr>
      <w:b/>
      <w:bCs/>
      <w:sz w:val="20"/>
    </w:rPr>
  </w:style>
  <w:style w:type="character" w:styleId="FollowedHyperlink">
    <w:name w:val="FollowedHyperlink"/>
    <w:uiPriority w:val="99"/>
    <w:rsid w:val="008530E2"/>
    <w:rPr>
      <w:color w:val="800080"/>
      <w:u w:val="single"/>
    </w:rPr>
  </w:style>
  <w:style w:type="paragraph" w:customStyle="1" w:styleId="font5">
    <w:name w:val="font5"/>
    <w:basedOn w:val="Normal"/>
    <w:rsid w:val="008530E2"/>
    <w:pPr>
      <w:spacing w:before="100" w:beforeAutospacing="1" w:after="100" w:afterAutospacing="1"/>
    </w:pPr>
    <w:rPr>
      <w:sz w:val="20"/>
    </w:rPr>
  </w:style>
  <w:style w:type="paragraph" w:customStyle="1" w:styleId="font6">
    <w:name w:val="font6"/>
    <w:basedOn w:val="Normal"/>
    <w:rsid w:val="008530E2"/>
    <w:pPr>
      <w:spacing w:before="100" w:beforeAutospacing="1" w:after="100" w:afterAutospacing="1"/>
    </w:pPr>
    <w:rPr>
      <w:sz w:val="20"/>
    </w:rPr>
  </w:style>
  <w:style w:type="paragraph" w:customStyle="1" w:styleId="xl25">
    <w:name w:val="xl25"/>
    <w:basedOn w:val="Normal"/>
    <w:rsid w:val="008530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6">
    <w:name w:val="xl26"/>
    <w:basedOn w:val="Normal"/>
    <w:rsid w:val="008530E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7">
    <w:name w:val="xl27"/>
    <w:basedOn w:val="Normal"/>
    <w:rsid w:val="008530E2"/>
    <w:pPr>
      <w:pBdr>
        <w:top w:val="single" w:sz="4" w:space="0" w:color="auto"/>
        <w:left w:val="single" w:sz="4" w:space="0" w:color="auto"/>
        <w:bottom w:val="single" w:sz="4" w:space="0" w:color="auto"/>
      </w:pBdr>
      <w:shd w:val="clear" w:color="auto" w:fill="C0C0C0"/>
      <w:spacing w:before="100" w:beforeAutospacing="1" w:after="100" w:afterAutospacing="1"/>
    </w:pPr>
    <w:rPr>
      <w:b/>
      <w:bCs/>
      <w:szCs w:val="24"/>
    </w:rPr>
  </w:style>
  <w:style w:type="paragraph" w:customStyle="1" w:styleId="xl28">
    <w:name w:val="xl28"/>
    <w:basedOn w:val="Normal"/>
    <w:rsid w:val="008530E2"/>
    <w:pPr>
      <w:pBdr>
        <w:top w:val="single" w:sz="4" w:space="0" w:color="auto"/>
        <w:bottom w:val="single" w:sz="4" w:space="0" w:color="auto"/>
        <w:right w:val="single" w:sz="4" w:space="0" w:color="auto"/>
      </w:pBdr>
      <w:shd w:val="clear" w:color="auto" w:fill="C0C0C0"/>
      <w:spacing w:before="100" w:beforeAutospacing="1" w:after="100" w:afterAutospacing="1"/>
    </w:pPr>
    <w:rPr>
      <w:b/>
      <w:bCs/>
      <w:szCs w:val="24"/>
    </w:rPr>
  </w:style>
  <w:style w:type="paragraph" w:customStyle="1" w:styleId="xl29">
    <w:name w:val="xl29"/>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0">
    <w:name w:val="xl3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1">
    <w:name w:val="xl3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2">
    <w:name w:val="xl3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3">
    <w:name w:val="xl3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34">
    <w:name w:val="xl34"/>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35">
    <w:name w:val="xl35"/>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36">
    <w:name w:val="xl36"/>
    <w:basedOn w:val="Normal"/>
    <w:rsid w:val="008530E2"/>
    <w:pPr>
      <w:pBdr>
        <w:top w:val="single" w:sz="4" w:space="0" w:color="auto"/>
        <w:left w:val="single" w:sz="4" w:space="0" w:color="auto"/>
        <w:right w:val="single" w:sz="4" w:space="0" w:color="auto"/>
      </w:pBdr>
      <w:spacing w:before="100" w:beforeAutospacing="1" w:after="100" w:afterAutospacing="1"/>
      <w:textAlignment w:val="top"/>
    </w:pPr>
    <w:rPr>
      <w:szCs w:val="24"/>
    </w:rPr>
  </w:style>
  <w:style w:type="paragraph" w:customStyle="1" w:styleId="xl37">
    <w:name w:val="xl37"/>
    <w:basedOn w:val="Normal"/>
    <w:rsid w:val="008530E2"/>
    <w:pPr>
      <w:spacing w:before="100" w:beforeAutospacing="1" w:after="100" w:afterAutospacing="1"/>
      <w:jc w:val="right"/>
      <w:textAlignment w:val="top"/>
    </w:pPr>
    <w:rPr>
      <w:szCs w:val="24"/>
    </w:rPr>
  </w:style>
  <w:style w:type="paragraph" w:customStyle="1" w:styleId="xl38">
    <w:name w:val="xl38"/>
    <w:basedOn w:val="Normal"/>
    <w:rsid w:val="008530E2"/>
    <w:pPr>
      <w:spacing w:before="100" w:beforeAutospacing="1" w:after="100" w:afterAutospacing="1"/>
    </w:pPr>
    <w:rPr>
      <w:szCs w:val="24"/>
    </w:rPr>
  </w:style>
  <w:style w:type="paragraph" w:customStyle="1" w:styleId="xl39">
    <w:name w:val="xl39"/>
    <w:basedOn w:val="Normal"/>
    <w:rsid w:val="008530E2"/>
    <w:pPr>
      <w:pBdr>
        <w:top w:val="single" w:sz="4" w:space="0" w:color="auto"/>
        <w:left w:val="single" w:sz="4" w:space="0" w:color="auto"/>
        <w:bottom w:val="single" w:sz="4" w:space="0" w:color="auto"/>
      </w:pBdr>
      <w:spacing w:before="100" w:beforeAutospacing="1" w:after="100" w:afterAutospacing="1"/>
      <w:jc w:val="right"/>
      <w:textAlignment w:val="top"/>
    </w:pPr>
    <w:rPr>
      <w:szCs w:val="24"/>
    </w:rPr>
  </w:style>
  <w:style w:type="paragraph" w:customStyle="1" w:styleId="xl40">
    <w:name w:val="xl4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1">
    <w:name w:val="xl4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42">
    <w:name w:val="xl4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43">
    <w:name w:val="xl4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44">
    <w:name w:val="xl44"/>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45">
    <w:name w:val="xl45"/>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46">
    <w:name w:val="xl46"/>
    <w:basedOn w:val="Normal"/>
    <w:rsid w:val="008530E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7">
    <w:name w:val="xl47"/>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48">
    <w:name w:val="xl48"/>
    <w:basedOn w:val="Normal"/>
    <w:rsid w:val="008530E2"/>
    <w:pPr>
      <w:pBdr>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49">
    <w:name w:val="xl49"/>
    <w:basedOn w:val="Normal"/>
    <w:rsid w:val="008530E2"/>
    <w:pPr>
      <w:pBdr>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0">
    <w:name w:val="xl50"/>
    <w:basedOn w:val="Normal"/>
    <w:rsid w:val="008530E2"/>
    <w:pPr>
      <w:pBdr>
        <w:top w:val="single" w:sz="4" w:space="0" w:color="auto"/>
        <w:left w:val="single" w:sz="4" w:space="0" w:color="auto"/>
        <w:bottom w:val="single" w:sz="4" w:space="0" w:color="auto"/>
      </w:pBdr>
      <w:spacing w:before="100" w:beforeAutospacing="1" w:after="100" w:afterAutospacing="1"/>
    </w:pPr>
    <w:rPr>
      <w:szCs w:val="24"/>
    </w:rPr>
  </w:style>
  <w:style w:type="paragraph" w:customStyle="1" w:styleId="xl51">
    <w:name w:val="xl5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52">
    <w:name w:val="xl5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53">
    <w:name w:val="xl5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Cs w:val="24"/>
    </w:rPr>
  </w:style>
  <w:style w:type="paragraph" w:customStyle="1" w:styleId="xl54">
    <w:name w:val="xl54"/>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55">
    <w:name w:val="xl55"/>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6">
    <w:name w:val="xl56"/>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57">
    <w:name w:val="xl57"/>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58">
    <w:name w:val="xl58"/>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59">
    <w:name w:val="xl59"/>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0">
    <w:name w:val="xl60"/>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customStyle="1" w:styleId="xl61">
    <w:name w:val="xl61"/>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62">
    <w:name w:val="xl62"/>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Cs w:val="24"/>
    </w:rPr>
  </w:style>
  <w:style w:type="paragraph" w:customStyle="1" w:styleId="xl63">
    <w:name w:val="xl63"/>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4">
    <w:name w:val="xl64"/>
    <w:basedOn w:val="Normal"/>
    <w:rsid w:val="008530E2"/>
    <w:pPr>
      <w:pBdr>
        <w:top w:val="single" w:sz="4" w:space="0" w:color="auto"/>
        <w:left w:val="single" w:sz="4" w:space="0" w:color="auto"/>
        <w:right w:val="single" w:sz="4" w:space="0" w:color="auto"/>
      </w:pBdr>
      <w:spacing w:before="100" w:beforeAutospacing="1" w:after="100" w:afterAutospacing="1"/>
      <w:jc w:val="right"/>
      <w:textAlignment w:val="top"/>
    </w:pPr>
    <w:rPr>
      <w:szCs w:val="24"/>
    </w:rPr>
  </w:style>
  <w:style w:type="paragraph" w:customStyle="1" w:styleId="xl65">
    <w:name w:val="xl65"/>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Cs w:val="24"/>
    </w:rPr>
  </w:style>
  <w:style w:type="paragraph" w:customStyle="1" w:styleId="xl67">
    <w:name w:val="xl67"/>
    <w:basedOn w:val="Normal"/>
    <w:rsid w:val="008530E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Cs w:val="24"/>
    </w:rPr>
  </w:style>
  <w:style w:type="paragraph" w:styleId="PlainText">
    <w:name w:val="Plain Text"/>
    <w:basedOn w:val="Normal"/>
    <w:rsid w:val="008530E2"/>
    <w:rPr>
      <w:rFonts w:ascii="Courier New" w:hAnsi="Courier New" w:cs="Courier New"/>
      <w:sz w:val="20"/>
    </w:rPr>
  </w:style>
  <w:style w:type="paragraph" w:styleId="DocumentMap">
    <w:name w:val="Document Map"/>
    <w:basedOn w:val="Normal"/>
    <w:semiHidden/>
    <w:rsid w:val="008530E2"/>
    <w:pPr>
      <w:shd w:val="clear" w:color="auto" w:fill="000080"/>
    </w:pPr>
    <w:rPr>
      <w:rFonts w:ascii="Tahoma" w:hAnsi="Tahoma" w:cs="Tahoma"/>
      <w:sz w:val="20"/>
    </w:rPr>
  </w:style>
  <w:style w:type="paragraph" w:styleId="FootnoteText">
    <w:name w:val="footnote text"/>
    <w:basedOn w:val="Normal"/>
    <w:link w:val="FootnoteTextChar"/>
    <w:rsid w:val="00E906EF"/>
    <w:rPr>
      <w:sz w:val="20"/>
    </w:rPr>
  </w:style>
  <w:style w:type="character" w:customStyle="1" w:styleId="FootnoteTextChar">
    <w:name w:val="Footnote Text Char"/>
    <w:basedOn w:val="DefaultParagraphFont"/>
    <w:link w:val="FootnoteText"/>
    <w:rsid w:val="00086FE0"/>
    <w:rPr>
      <w:sz w:val="20"/>
    </w:rPr>
  </w:style>
  <w:style w:type="character" w:styleId="FootnoteReference">
    <w:name w:val="footnote reference"/>
    <w:rsid w:val="00E906EF"/>
    <w:rPr>
      <w:vertAlign w:val="superscript"/>
    </w:rPr>
  </w:style>
  <w:style w:type="paragraph" w:styleId="Caption">
    <w:name w:val="caption"/>
    <w:basedOn w:val="Normal"/>
    <w:next w:val="Normal"/>
    <w:unhideWhenUsed/>
    <w:qFormat/>
    <w:rsid w:val="007471FD"/>
    <w:rPr>
      <w:b/>
      <w:bCs/>
      <w:sz w:val="20"/>
    </w:rPr>
  </w:style>
  <w:style w:type="paragraph" w:styleId="ListParagraph">
    <w:name w:val="List Paragraph"/>
    <w:basedOn w:val="Normal"/>
    <w:qFormat/>
    <w:rsid w:val="005142EC"/>
    <w:pPr>
      <w:ind w:left="720"/>
      <w:contextualSpacing/>
    </w:pPr>
  </w:style>
  <w:style w:type="character" w:styleId="Emphasis">
    <w:name w:val="Emphasis"/>
    <w:basedOn w:val="DefaultParagraphFont"/>
    <w:qFormat/>
    <w:rsid w:val="00250005"/>
    <w:rPr>
      <w:i/>
      <w:iCs/>
    </w:rPr>
  </w:style>
  <w:style w:type="paragraph" w:styleId="Revision">
    <w:name w:val="Revision"/>
    <w:hidden/>
    <w:uiPriority w:val="99"/>
    <w:semiHidden/>
    <w:rsid w:val="00050219"/>
  </w:style>
  <w:style w:type="table" w:styleId="TableTheme">
    <w:name w:val="Table Theme"/>
    <w:basedOn w:val="TableNormal"/>
    <w:rsid w:val="00693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23B"/>
    <w:rPr>
      <w:color w:val="605E5C"/>
      <w:shd w:val="clear" w:color="auto" w:fill="E1DFDD"/>
    </w:rPr>
  </w:style>
  <w:style w:type="numbering" w:customStyle="1" w:styleId="NoList1">
    <w:name w:val="No List1"/>
    <w:next w:val="NoList"/>
    <w:uiPriority w:val="99"/>
    <w:semiHidden/>
    <w:unhideWhenUsed/>
    <w:rsid w:val="000333E3"/>
  </w:style>
  <w:style w:type="paragraph" w:customStyle="1" w:styleId="msonormal0">
    <w:name w:val="msonormal"/>
    <w:basedOn w:val="Normal"/>
    <w:rsid w:val="000333E3"/>
    <w:pPr>
      <w:spacing w:before="100" w:beforeAutospacing="1" w:after="100" w:afterAutospacing="1" w:line="240" w:lineRule="auto"/>
    </w:pPr>
    <w:rPr>
      <w:rFonts w:ascii="Times New Roman" w:hAnsi="Times New Roman"/>
      <w:sz w:val="24"/>
      <w:szCs w:val="24"/>
    </w:rPr>
  </w:style>
  <w:style w:type="paragraph" w:customStyle="1" w:styleId="xl143">
    <w:name w:val="xl143"/>
    <w:basedOn w:val="Normal"/>
    <w:rsid w:val="000333E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4">
    <w:name w:val="xl144"/>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45">
    <w:name w:val="xl145"/>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46">
    <w:name w:val="xl146"/>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hAnsi="Times New Roman"/>
      <w:color w:val="000000"/>
      <w:sz w:val="18"/>
      <w:szCs w:val="18"/>
    </w:rPr>
  </w:style>
  <w:style w:type="paragraph" w:customStyle="1" w:styleId="xl147">
    <w:name w:val="xl147"/>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Normal"/>
    <w:rsid w:val="000333E3"/>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3">
    <w:name w:val="xl153"/>
    <w:basedOn w:val="Normal"/>
    <w:rsid w:val="000333E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Normal"/>
    <w:rsid w:val="000333E3"/>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56">
    <w:name w:val="xl156"/>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1">
    <w:name w:val="xl161"/>
    <w:basedOn w:val="Normal"/>
    <w:rsid w:val="000333E3"/>
    <w:pPr>
      <w:pBdr>
        <w:top w:val="single" w:sz="4" w:space="0" w:color="auto"/>
        <w:left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Normal"/>
    <w:rsid w:val="000333E3"/>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6">
    <w:name w:val="xl166"/>
    <w:basedOn w:val="Normal"/>
    <w:rsid w:val="000333E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hAnsi="Times New Roman"/>
      <w:sz w:val="18"/>
      <w:szCs w:val="18"/>
    </w:rPr>
  </w:style>
  <w:style w:type="paragraph" w:customStyle="1" w:styleId="xl167">
    <w:name w:val="xl167"/>
    <w:basedOn w:val="Normal"/>
    <w:rsid w:val="000333E3"/>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Normal"/>
    <w:rsid w:val="00182A56"/>
    <w:pPr>
      <w:pBdr>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hAnsi="Times New Roman"/>
      <w:sz w:val="18"/>
      <w:szCs w:val="18"/>
    </w:rPr>
  </w:style>
  <w:style w:type="paragraph" w:customStyle="1" w:styleId="xl170">
    <w:name w:val="xl170"/>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Normal"/>
    <w:rsid w:val="00182A5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2">
    <w:name w:val="xl172"/>
    <w:basedOn w:val="Normal"/>
    <w:rsid w:val="00182A56"/>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3">
    <w:name w:val="xl173"/>
    <w:basedOn w:val="Normal"/>
    <w:rsid w:val="00182A56"/>
    <w:pP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4">
    <w:name w:val="xl174"/>
    <w:basedOn w:val="Normal"/>
    <w:rsid w:val="00182A56"/>
    <w:pPr>
      <w:pBdr>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5">
    <w:name w:val="xl175"/>
    <w:basedOn w:val="Normal"/>
    <w:rsid w:val="00182A5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top"/>
    </w:pPr>
    <w:rPr>
      <w:rFonts w:ascii="Times New Roman" w:hAnsi="Times New Roman"/>
      <w:sz w:val="18"/>
      <w:szCs w:val="18"/>
    </w:rPr>
  </w:style>
  <w:style w:type="paragraph" w:customStyle="1" w:styleId="xl176">
    <w:name w:val="xl176"/>
    <w:basedOn w:val="Normal"/>
    <w:rsid w:val="00182A5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7">
    <w:name w:val="xl177"/>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hAnsi="Times New Roman"/>
      <w:sz w:val="18"/>
      <w:szCs w:val="18"/>
    </w:rPr>
  </w:style>
  <w:style w:type="paragraph" w:customStyle="1" w:styleId="xl178">
    <w:name w:val="xl178"/>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80">
    <w:name w:val="xl180"/>
    <w:basedOn w:val="Normal"/>
    <w:rsid w:val="00182A56"/>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2">
    <w:name w:val="xl142"/>
    <w:basedOn w:val="Normal"/>
    <w:rsid w:val="005645CC"/>
    <w:pPr>
      <w:spacing w:before="100" w:beforeAutospacing="1" w:after="100" w:afterAutospacing="1" w:line="240" w:lineRule="auto"/>
      <w:jc w:val="center"/>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7272">
      <w:bodyDiv w:val="1"/>
      <w:marLeft w:val="0"/>
      <w:marRight w:val="0"/>
      <w:marTop w:val="0"/>
      <w:marBottom w:val="0"/>
      <w:divBdr>
        <w:top w:val="none" w:sz="0" w:space="0" w:color="auto"/>
        <w:left w:val="none" w:sz="0" w:space="0" w:color="auto"/>
        <w:bottom w:val="none" w:sz="0" w:space="0" w:color="auto"/>
        <w:right w:val="none" w:sz="0" w:space="0" w:color="auto"/>
      </w:divBdr>
    </w:div>
    <w:div w:id="5447667">
      <w:bodyDiv w:val="1"/>
      <w:marLeft w:val="0"/>
      <w:marRight w:val="0"/>
      <w:marTop w:val="0"/>
      <w:marBottom w:val="0"/>
      <w:divBdr>
        <w:top w:val="none" w:sz="0" w:space="0" w:color="auto"/>
        <w:left w:val="none" w:sz="0" w:space="0" w:color="auto"/>
        <w:bottom w:val="none" w:sz="0" w:space="0" w:color="auto"/>
        <w:right w:val="none" w:sz="0" w:space="0" w:color="auto"/>
      </w:divBdr>
    </w:div>
    <w:div w:id="8870798">
      <w:bodyDiv w:val="1"/>
      <w:marLeft w:val="0"/>
      <w:marRight w:val="0"/>
      <w:marTop w:val="0"/>
      <w:marBottom w:val="0"/>
      <w:divBdr>
        <w:top w:val="none" w:sz="0" w:space="0" w:color="auto"/>
        <w:left w:val="none" w:sz="0" w:space="0" w:color="auto"/>
        <w:bottom w:val="none" w:sz="0" w:space="0" w:color="auto"/>
        <w:right w:val="none" w:sz="0" w:space="0" w:color="auto"/>
      </w:divBdr>
    </w:div>
    <w:div w:id="15431697">
      <w:bodyDiv w:val="1"/>
      <w:marLeft w:val="0"/>
      <w:marRight w:val="0"/>
      <w:marTop w:val="0"/>
      <w:marBottom w:val="0"/>
      <w:divBdr>
        <w:top w:val="none" w:sz="0" w:space="0" w:color="auto"/>
        <w:left w:val="none" w:sz="0" w:space="0" w:color="auto"/>
        <w:bottom w:val="none" w:sz="0" w:space="0" w:color="auto"/>
        <w:right w:val="none" w:sz="0" w:space="0" w:color="auto"/>
      </w:divBdr>
    </w:div>
    <w:div w:id="22484273">
      <w:bodyDiv w:val="1"/>
      <w:marLeft w:val="0"/>
      <w:marRight w:val="0"/>
      <w:marTop w:val="0"/>
      <w:marBottom w:val="0"/>
      <w:divBdr>
        <w:top w:val="none" w:sz="0" w:space="0" w:color="auto"/>
        <w:left w:val="none" w:sz="0" w:space="0" w:color="auto"/>
        <w:bottom w:val="none" w:sz="0" w:space="0" w:color="auto"/>
        <w:right w:val="none" w:sz="0" w:space="0" w:color="auto"/>
      </w:divBdr>
    </w:div>
    <w:div w:id="22824306">
      <w:bodyDiv w:val="1"/>
      <w:marLeft w:val="0"/>
      <w:marRight w:val="0"/>
      <w:marTop w:val="0"/>
      <w:marBottom w:val="0"/>
      <w:divBdr>
        <w:top w:val="none" w:sz="0" w:space="0" w:color="auto"/>
        <w:left w:val="none" w:sz="0" w:space="0" w:color="auto"/>
        <w:bottom w:val="none" w:sz="0" w:space="0" w:color="auto"/>
        <w:right w:val="none" w:sz="0" w:space="0" w:color="auto"/>
      </w:divBdr>
    </w:div>
    <w:div w:id="30882351">
      <w:bodyDiv w:val="1"/>
      <w:marLeft w:val="0"/>
      <w:marRight w:val="0"/>
      <w:marTop w:val="0"/>
      <w:marBottom w:val="0"/>
      <w:divBdr>
        <w:top w:val="none" w:sz="0" w:space="0" w:color="auto"/>
        <w:left w:val="none" w:sz="0" w:space="0" w:color="auto"/>
        <w:bottom w:val="none" w:sz="0" w:space="0" w:color="auto"/>
        <w:right w:val="none" w:sz="0" w:space="0" w:color="auto"/>
      </w:divBdr>
    </w:div>
    <w:div w:id="31227828">
      <w:bodyDiv w:val="1"/>
      <w:marLeft w:val="0"/>
      <w:marRight w:val="0"/>
      <w:marTop w:val="0"/>
      <w:marBottom w:val="0"/>
      <w:divBdr>
        <w:top w:val="none" w:sz="0" w:space="0" w:color="auto"/>
        <w:left w:val="none" w:sz="0" w:space="0" w:color="auto"/>
        <w:bottom w:val="none" w:sz="0" w:space="0" w:color="auto"/>
        <w:right w:val="none" w:sz="0" w:space="0" w:color="auto"/>
      </w:divBdr>
    </w:div>
    <w:div w:id="36318279">
      <w:bodyDiv w:val="1"/>
      <w:marLeft w:val="0"/>
      <w:marRight w:val="0"/>
      <w:marTop w:val="0"/>
      <w:marBottom w:val="0"/>
      <w:divBdr>
        <w:top w:val="none" w:sz="0" w:space="0" w:color="auto"/>
        <w:left w:val="none" w:sz="0" w:space="0" w:color="auto"/>
        <w:bottom w:val="none" w:sz="0" w:space="0" w:color="auto"/>
        <w:right w:val="none" w:sz="0" w:space="0" w:color="auto"/>
      </w:divBdr>
    </w:div>
    <w:div w:id="43606141">
      <w:bodyDiv w:val="1"/>
      <w:marLeft w:val="0"/>
      <w:marRight w:val="0"/>
      <w:marTop w:val="0"/>
      <w:marBottom w:val="0"/>
      <w:divBdr>
        <w:top w:val="none" w:sz="0" w:space="0" w:color="auto"/>
        <w:left w:val="none" w:sz="0" w:space="0" w:color="auto"/>
        <w:bottom w:val="none" w:sz="0" w:space="0" w:color="auto"/>
        <w:right w:val="none" w:sz="0" w:space="0" w:color="auto"/>
      </w:divBdr>
    </w:div>
    <w:div w:id="56128224">
      <w:bodyDiv w:val="1"/>
      <w:marLeft w:val="0"/>
      <w:marRight w:val="0"/>
      <w:marTop w:val="0"/>
      <w:marBottom w:val="0"/>
      <w:divBdr>
        <w:top w:val="none" w:sz="0" w:space="0" w:color="auto"/>
        <w:left w:val="none" w:sz="0" w:space="0" w:color="auto"/>
        <w:bottom w:val="none" w:sz="0" w:space="0" w:color="auto"/>
        <w:right w:val="none" w:sz="0" w:space="0" w:color="auto"/>
      </w:divBdr>
    </w:div>
    <w:div w:id="76293915">
      <w:bodyDiv w:val="1"/>
      <w:marLeft w:val="0"/>
      <w:marRight w:val="0"/>
      <w:marTop w:val="0"/>
      <w:marBottom w:val="0"/>
      <w:divBdr>
        <w:top w:val="none" w:sz="0" w:space="0" w:color="auto"/>
        <w:left w:val="none" w:sz="0" w:space="0" w:color="auto"/>
        <w:bottom w:val="none" w:sz="0" w:space="0" w:color="auto"/>
        <w:right w:val="none" w:sz="0" w:space="0" w:color="auto"/>
      </w:divBdr>
    </w:div>
    <w:div w:id="81492542">
      <w:bodyDiv w:val="1"/>
      <w:marLeft w:val="0"/>
      <w:marRight w:val="0"/>
      <w:marTop w:val="0"/>
      <w:marBottom w:val="0"/>
      <w:divBdr>
        <w:top w:val="none" w:sz="0" w:space="0" w:color="auto"/>
        <w:left w:val="none" w:sz="0" w:space="0" w:color="auto"/>
        <w:bottom w:val="none" w:sz="0" w:space="0" w:color="auto"/>
        <w:right w:val="none" w:sz="0" w:space="0" w:color="auto"/>
      </w:divBdr>
    </w:div>
    <w:div w:id="96564989">
      <w:bodyDiv w:val="1"/>
      <w:marLeft w:val="0"/>
      <w:marRight w:val="0"/>
      <w:marTop w:val="0"/>
      <w:marBottom w:val="0"/>
      <w:divBdr>
        <w:top w:val="none" w:sz="0" w:space="0" w:color="auto"/>
        <w:left w:val="none" w:sz="0" w:space="0" w:color="auto"/>
        <w:bottom w:val="none" w:sz="0" w:space="0" w:color="auto"/>
        <w:right w:val="none" w:sz="0" w:space="0" w:color="auto"/>
      </w:divBdr>
    </w:div>
    <w:div w:id="99229872">
      <w:bodyDiv w:val="1"/>
      <w:marLeft w:val="0"/>
      <w:marRight w:val="0"/>
      <w:marTop w:val="0"/>
      <w:marBottom w:val="0"/>
      <w:divBdr>
        <w:top w:val="none" w:sz="0" w:space="0" w:color="auto"/>
        <w:left w:val="none" w:sz="0" w:space="0" w:color="auto"/>
        <w:bottom w:val="none" w:sz="0" w:space="0" w:color="auto"/>
        <w:right w:val="none" w:sz="0" w:space="0" w:color="auto"/>
      </w:divBdr>
    </w:div>
    <w:div w:id="105003878">
      <w:bodyDiv w:val="1"/>
      <w:marLeft w:val="0"/>
      <w:marRight w:val="0"/>
      <w:marTop w:val="0"/>
      <w:marBottom w:val="0"/>
      <w:divBdr>
        <w:top w:val="none" w:sz="0" w:space="0" w:color="auto"/>
        <w:left w:val="none" w:sz="0" w:space="0" w:color="auto"/>
        <w:bottom w:val="none" w:sz="0" w:space="0" w:color="auto"/>
        <w:right w:val="none" w:sz="0" w:space="0" w:color="auto"/>
      </w:divBdr>
    </w:div>
    <w:div w:id="129371056">
      <w:bodyDiv w:val="1"/>
      <w:marLeft w:val="0"/>
      <w:marRight w:val="0"/>
      <w:marTop w:val="0"/>
      <w:marBottom w:val="0"/>
      <w:divBdr>
        <w:top w:val="none" w:sz="0" w:space="0" w:color="auto"/>
        <w:left w:val="none" w:sz="0" w:space="0" w:color="auto"/>
        <w:bottom w:val="none" w:sz="0" w:space="0" w:color="auto"/>
        <w:right w:val="none" w:sz="0" w:space="0" w:color="auto"/>
      </w:divBdr>
    </w:div>
    <w:div w:id="167253028">
      <w:bodyDiv w:val="1"/>
      <w:marLeft w:val="0"/>
      <w:marRight w:val="0"/>
      <w:marTop w:val="0"/>
      <w:marBottom w:val="0"/>
      <w:divBdr>
        <w:top w:val="none" w:sz="0" w:space="0" w:color="auto"/>
        <w:left w:val="none" w:sz="0" w:space="0" w:color="auto"/>
        <w:bottom w:val="none" w:sz="0" w:space="0" w:color="auto"/>
        <w:right w:val="none" w:sz="0" w:space="0" w:color="auto"/>
      </w:divBdr>
    </w:div>
    <w:div w:id="173500110">
      <w:bodyDiv w:val="1"/>
      <w:marLeft w:val="0"/>
      <w:marRight w:val="0"/>
      <w:marTop w:val="0"/>
      <w:marBottom w:val="0"/>
      <w:divBdr>
        <w:top w:val="none" w:sz="0" w:space="0" w:color="auto"/>
        <w:left w:val="none" w:sz="0" w:space="0" w:color="auto"/>
        <w:bottom w:val="none" w:sz="0" w:space="0" w:color="auto"/>
        <w:right w:val="none" w:sz="0" w:space="0" w:color="auto"/>
      </w:divBdr>
    </w:div>
    <w:div w:id="176506752">
      <w:bodyDiv w:val="1"/>
      <w:marLeft w:val="0"/>
      <w:marRight w:val="0"/>
      <w:marTop w:val="0"/>
      <w:marBottom w:val="0"/>
      <w:divBdr>
        <w:top w:val="none" w:sz="0" w:space="0" w:color="auto"/>
        <w:left w:val="none" w:sz="0" w:space="0" w:color="auto"/>
        <w:bottom w:val="none" w:sz="0" w:space="0" w:color="auto"/>
        <w:right w:val="none" w:sz="0" w:space="0" w:color="auto"/>
      </w:divBdr>
    </w:div>
    <w:div w:id="178666333">
      <w:bodyDiv w:val="1"/>
      <w:marLeft w:val="0"/>
      <w:marRight w:val="0"/>
      <w:marTop w:val="0"/>
      <w:marBottom w:val="0"/>
      <w:divBdr>
        <w:top w:val="none" w:sz="0" w:space="0" w:color="auto"/>
        <w:left w:val="none" w:sz="0" w:space="0" w:color="auto"/>
        <w:bottom w:val="none" w:sz="0" w:space="0" w:color="auto"/>
        <w:right w:val="none" w:sz="0" w:space="0" w:color="auto"/>
      </w:divBdr>
    </w:div>
    <w:div w:id="180901399">
      <w:bodyDiv w:val="1"/>
      <w:marLeft w:val="0"/>
      <w:marRight w:val="0"/>
      <w:marTop w:val="0"/>
      <w:marBottom w:val="0"/>
      <w:divBdr>
        <w:top w:val="none" w:sz="0" w:space="0" w:color="auto"/>
        <w:left w:val="none" w:sz="0" w:space="0" w:color="auto"/>
        <w:bottom w:val="none" w:sz="0" w:space="0" w:color="auto"/>
        <w:right w:val="none" w:sz="0" w:space="0" w:color="auto"/>
      </w:divBdr>
    </w:div>
    <w:div w:id="200747161">
      <w:bodyDiv w:val="1"/>
      <w:marLeft w:val="0"/>
      <w:marRight w:val="0"/>
      <w:marTop w:val="0"/>
      <w:marBottom w:val="0"/>
      <w:divBdr>
        <w:top w:val="none" w:sz="0" w:space="0" w:color="auto"/>
        <w:left w:val="none" w:sz="0" w:space="0" w:color="auto"/>
        <w:bottom w:val="none" w:sz="0" w:space="0" w:color="auto"/>
        <w:right w:val="none" w:sz="0" w:space="0" w:color="auto"/>
      </w:divBdr>
    </w:div>
    <w:div w:id="217478788">
      <w:bodyDiv w:val="1"/>
      <w:marLeft w:val="0"/>
      <w:marRight w:val="0"/>
      <w:marTop w:val="0"/>
      <w:marBottom w:val="0"/>
      <w:divBdr>
        <w:top w:val="none" w:sz="0" w:space="0" w:color="auto"/>
        <w:left w:val="none" w:sz="0" w:space="0" w:color="auto"/>
        <w:bottom w:val="none" w:sz="0" w:space="0" w:color="auto"/>
        <w:right w:val="none" w:sz="0" w:space="0" w:color="auto"/>
      </w:divBdr>
    </w:div>
    <w:div w:id="220941017">
      <w:bodyDiv w:val="1"/>
      <w:marLeft w:val="0"/>
      <w:marRight w:val="0"/>
      <w:marTop w:val="0"/>
      <w:marBottom w:val="0"/>
      <w:divBdr>
        <w:top w:val="none" w:sz="0" w:space="0" w:color="auto"/>
        <w:left w:val="none" w:sz="0" w:space="0" w:color="auto"/>
        <w:bottom w:val="none" w:sz="0" w:space="0" w:color="auto"/>
        <w:right w:val="none" w:sz="0" w:space="0" w:color="auto"/>
      </w:divBdr>
    </w:div>
    <w:div w:id="247735957">
      <w:bodyDiv w:val="1"/>
      <w:marLeft w:val="0"/>
      <w:marRight w:val="0"/>
      <w:marTop w:val="0"/>
      <w:marBottom w:val="0"/>
      <w:divBdr>
        <w:top w:val="none" w:sz="0" w:space="0" w:color="auto"/>
        <w:left w:val="none" w:sz="0" w:space="0" w:color="auto"/>
        <w:bottom w:val="none" w:sz="0" w:space="0" w:color="auto"/>
        <w:right w:val="none" w:sz="0" w:space="0" w:color="auto"/>
      </w:divBdr>
    </w:div>
    <w:div w:id="270090685">
      <w:bodyDiv w:val="1"/>
      <w:marLeft w:val="0"/>
      <w:marRight w:val="0"/>
      <w:marTop w:val="0"/>
      <w:marBottom w:val="0"/>
      <w:divBdr>
        <w:top w:val="none" w:sz="0" w:space="0" w:color="auto"/>
        <w:left w:val="none" w:sz="0" w:space="0" w:color="auto"/>
        <w:bottom w:val="none" w:sz="0" w:space="0" w:color="auto"/>
        <w:right w:val="none" w:sz="0" w:space="0" w:color="auto"/>
      </w:divBdr>
    </w:div>
    <w:div w:id="301231663">
      <w:bodyDiv w:val="1"/>
      <w:marLeft w:val="0"/>
      <w:marRight w:val="0"/>
      <w:marTop w:val="0"/>
      <w:marBottom w:val="0"/>
      <w:divBdr>
        <w:top w:val="none" w:sz="0" w:space="0" w:color="auto"/>
        <w:left w:val="none" w:sz="0" w:space="0" w:color="auto"/>
        <w:bottom w:val="none" w:sz="0" w:space="0" w:color="auto"/>
        <w:right w:val="none" w:sz="0" w:space="0" w:color="auto"/>
      </w:divBdr>
    </w:div>
    <w:div w:id="305476814">
      <w:bodyDiv w:val="1"/>
      <w:marLeft w:val="0"/>
      <w:marRight w:val="0"/>
      <w:marTop w:val="0"/>
      <w:marBottom w:val="0"/>
      <w:divBdr>
        <w:top w:val="none" w:sz="0" w:space="0" w:color="auto"/>
        <w:left w:val="none" w:sz="0" w:space="0" w:color="auto"/>
        <w:bottom w:val="none" w:sz="0" w:space="0" w:color="auto"/>
        <w:right w:val="none" w:sz="0" w:space="0" w:color="auto"/>
      </w:divBdr>
    </w:div>
    <w:div w:id="306134937">
      <w:bodyDiv w:val="1"/>
      <w:marLeft w:val="0"/>
      <w:marRight w:val="0"/>
      <w:marTop w:val="0"/>
      <w:marBottom w:val="0"/>
      <w:divBdr>
        <w:top w:val="none" w:sz="0" w:space="0" w:color="auto"/>
        <w:left w:val="none" w:sz="0" w:space="0" w:color="auto"/>
        <w:bottom w:val="none" w:sz="0" w:space="0" w:color="auto"/>
        <w:right w:val="none" w:sz="0" w:space="0" w:color="auto"/>
      </w:divBdr>
    </w:div>
    <w:div w:id="344939202">
      <w:bodyDiv w:val="1"/>
      <w:marLeft w:val="0"/>
      <w:marRight w:val="0"/>
      <w:marTop w:val="0"/>
      <w:marBottom w:val="0"/>
      <w:divBdr>
        <w:top w:val="none" w:sz="0" w:space="0" w:color="auto"/>
        <w:left w:val="none" w:sz="0" w:space="0" w:color="auto"/>
        <w:bottom w:val="none" w:sz="0" w:space="0" w:color="auto"/>
        <w:right w:val="none" w:sz="0" w:space="0" w:color="auto"/>
      </w:divBdr>
    </w:div>
    <w:div w:id="361371005">
      <w:bodyDiv w:val="1"/>
      <w:marLeft w:val="0"/>
      <w:marRight w:val="0"/>
      <w:marTop w:val="0"/>
      <w:marBottom w:val="0"/>
      <w:divBdr>
        <w:top w:val="none" w:sz="0" w:space="0" w:color="auto"/>
        <w:left w:val="none" w:sz="0" w:space="0" w:color="auto"/>
        <w:bottom w:val="none" w:sz="0" w:space="0" w:color="auto"/>
        <w:right w:val="none" w:sz="0" w:space="0" w:color="auto"/>
      </w:divBdr>
    </w:div>
    <w:div w:id="362707056">
      <w:bodyDiv w:val="1"/>
      <w:marLeft w:val="0"/>
      <w:marRight w:val="0"/>
      <w:marTop w:val="0"/>
      <w:marBottom w:val="0"/>
      <w:divBdr>
        <w:top w:val="none" w:sz="0" w:space="0" w:color="auto"/>
        <w:left w:val="none" w:sz="0" w:space="0" w:color="auto"/>
        <w:bottom w:val="none" w:sz="0" w:space="0" w:color="auto"/>
        <w:right w:val="none" w:sz="0" w:space="0" w:color="auto"/>
      </w:divBdr>
    </w:div>
    <w:div w:id="376930055">
      <w:bodyDiv w:val="1"/>
      <w:marLeft w:val="0"/>
      <w:marRight w:val="0"/>
      <w:marTop w:val="0"/>
      <w:marBottom w:val="0"/>
      <w:divBdr>
        <w:top w:val="none" w:sz="0" w:space="0" w:color="auto"/>
        <w:left w:val="none" w:sz="0" w:space="0" w:color="auto"/>
        <w:bottom w:val="none" w:sz="0" w:space="0" w:color="auto"/>
        <w:right w:val="none" w:sz="0" w:space="0" w:color="auto"/>
      </w:divBdr>
    </w:div>
    <w:div w:id="387150591">
      <w:bodyDiv w:val="1"/>
      <w:marLeft w:val="0"/>
      <w:marRight w:val="0"/>
      <w:marTop w:val="0"/>
      <w:marBottom w:val="0"/>
      <w:divBdr>
        <w:top w:val="none" w:sz="0" w:space="0" w:color="auto"/>
        <w:left w:val="none" w:sz="0" w:space="0" w:color="auto"/>
        <w:bottom w:val="none" w:sz="0" w:space="0" w:color="auto"/>
        <w:right w:val="none" w:sz="0" w:space="0" w:color="auto"/>
      </w:divBdr>
    </w:div>
    <w:div w:id="391079028">
      <w:bodyDiv w:val="1"/>
      <w:marLeft w:val="0"/>
      <w:marRight w:val="0"/>
      <w:marTop w:val="0"/>
      <w:marBottom w:val="0"/>
      <w:divBdr>
        <w:top w:val="none" w:sz="0" w:space="0" w:color="auto"/>
        <w:left w:val="none" w:sz="0" w:space="0" w:color="auto"/>
        <w:bottom w:val="none" w:sz="0" w:space="0" w:color="auto"/>
        <w:right w:val="none" w:sz="0" w:space="0" w:color="auto"/>
      </w:divBdr>
    </w:div>
    <w:div w:id="398403632">
      <w:bodyDiv w:val="1"/>
      <w:marLeft w:val="0"/>
      <w:marRight w:val="0"/>
      <w:marTop w:val="0"/>
      <w:marBottom w:val="0"/>
      <w:divBdr>
        <w:top w:val="none" w:sz="0" w:space="0" w:color="auto"/>
        <w:left w:val="none" w:sz="0" w:space="0" w:color="auto"/>
        <w:bottom w:val="none" w:sz="0" w:space="0" w:color="auto"/>
        <w:right w:val="none" w:sz="0" w:space="0" w:color="auto"/>
      </w:divBdr>
    </w:div>
    <w:div w:id="412556237">
      <w:bodyDiv w:val="1"/>
      <w:marLeft w:val="0"/>
      <w:marRight w:val="0"/>
      <w:marTop w:val="0"/>
      <w:marBottom w:val="0"/>
      <w:divBdr>
        <w:top w:val="none" w:sz="0" w:space="0" w:color="auto"/>
        <w:left w:val="none" w:sz="0" w:space="0" w:color="auto"/>
        <w:bottom w:val="none" w:sz="0" w:space="0" w:color="auto"/>
        <w:right w:val="none" w:sz="0" w:space="0" w:color="auto"/>
      </w:divBdr>
    </w:div>
    <w:div w:id="425032722">
      <w:bodyDiv w:val="1"/>
      <w:marLeft w:val="0"/>
      <w:marRight w:val="0"/>
      <w:marTop w:val="0"/>
      <w:marBottom w:val="0"/>
      <w:divBdr>
        <w:top w:val="none" w:sz="0" w:space="0" w:color="auto"/>
        <w:left w:val="none" w:sz="0" w:space="0" w:color="auto"/>
        <w:bottom w:val="none" w:sz="0" w:space="0" w:color="auto"/>
        <w:right w:val="none" w:sz="0" w:space="0" w:color="auto"/>
      </w:divBdr>
    </w:div>
    <w:div w:id="427697044">
      <w:bodyDiv w:val="1"/>
      <w:marLeft w:val="0"/>
      <w:marRight w:val="0"/>
      <w:marTop w:val="0"/>
      <w:marBottom w:val="0"/>
      <w:divBdr>
        <w:top w:val="none" w:sz="0" w:space="0" w:color="auto"/>
        <w:left w:val="none" w:sz="0" w:space="0" w:color="auto"/>
        <w:bottom w:val="none" w:sz="0" w:space="0" w:color="auto"/>
        <w:right w:val="none" w:sz="0" w:space="0" w:color="auto"/>
      </w:divBdr>
    </w:div>
    <w:div w:id="431097183">
      <w:bodyDiv w:val="1"/>
      <w:marLeft w:val="0"/>
      <w:marRight w:val="0"/>
      <w:marTop w:val="0"/>
      <w:marBottom w:val="0"/>
      <w:divBdr>
        <w:top w:val="none" w:sz="0" w:space="0" w:color="auto"/>
        <w:left w:val="none" w:sz="0" w:space="0" w:color="auto"/>
        <w:bottom w:val="none" w:sz="0" w:space="0" w:color="auto"/>
        <w:right w:val="none" w:sz="0" w:space="0" w:color="auto"/>
      </w:divBdr>
    </w:div>
    <w:div w:id="450707594">
      <w:bodyDiv w:val="1"/>
      <w:marLeft w:val="0"/>
      <w:marRight w:val="0"/>
      <w:marTop w:val="0"/>
      <w:marBottom w:val="0"/>
      <w:divBdr>
        <w:top w:val="none" w:sz="0" w:space="0" w:color="auto"/>
        <w:left w:val="none" w:sz="0" w:space="0" w:color="auto"/>
        <w:bottom w:val="none" w:sz="0" w:space="0" w:color="auto"/>
        <w:right w:val="none" w:sz="0" w:space="0" w:color="auto"/>
      </w:divBdr>
    </w:div>
    <w:div w:id="456531021">
      <w:bodyDiv w:val="1"/>
      <w:marLeft w:val="0"/>
      <w:marRight w:val="0"/>
      <w:marTop w:val="0"/>
      <w:marBottom w:val="0"/>
      <w:divBdr>
        <w:top w:val="none" w:sz="0" w:space="0" w:color="auto"/>
        <w:left w:val="none" w:sz="0" w:space="0" w:color="auto"/>
        <w:bottom w:val="none" w:sz="0" w:space="0" w:color="auto"/>
        <w:right w:val="none" w:sz="0" w:space="0" w:color="auto"/>
      </w:divBdr>
    </w:div>
    <w:div w:id="457185771">
      <w:bodyDiv w:val="1"/>
      <w:marLeft w:val="0"/>
      <w:marRight w:val="0"/>
      <w:marTop w:val="0"/>
      <w:marBottom w:val="0"/>
      <w:divBdr>
        <w:top w:val="none" w:sz="0" w:space="0" w:color="auto"/>
        <w:left w:val="none" w:sz="0" w:space="0" w:color="auto"/>
        <w:bottom w:val="none" w:sz="0" w:space="0" w:color="auto"/>
        <w:right w:val="none" w:sz="0" w:space="0" w:color="auto"/>
      </w:divBdr>
    </w:div>
    <w:div w:id="480536146">
      <w:bodyDiv w:val="1"/>
      <w:marLeft w:val="0"/>
      <w:marRight w:val="0"/>
      <w:marTop w:val="0"/>
      <w:marBottom w:val="0"/>
      <w:divBdr>
        <w:top w:val="none" w:sz="0" w:space="0" w:color="auto"/>
        <w:left w:val="none" w:sz="0" w:space="0" w:color="auto"/>
        <w:bottom w:val="none" w:sz="0" w:space="0" w:color="auto"/>
        <w:right w:val="none" w:sz="0" w:space="0" w:color="auto"/>
      </w:divBdr>
    </w:div>
    <w:div w:id="482891572">
      <w:bodyDiv w:val="1"/>
      <w:marLeft w:val="0"/>
      <w:marRight w:val="0"/>
      <w:marTop w:val="0"/>
      <w:marBottom w:val="0"/>
      <w:divBdr>
        <w:top w:val="none" w:sz="0" w:space="0" w:color="auto"/>
        <w:left w:val="none" w:sz="0" w:space="0" w:color="auto"/>
        <w:bottom w:val="none" w:sz="0" w:space="0" w:color="auto"/>
        <w:right w:val="none" w:sz="0" w:space="0" w:color="auto"/>
      </w:divBdr>
    </w:div>
    <w:div w:id="490607933">
      <w:bodyDiv w:val="1"/>
      <w:marLeft w:val="0"/>
      <w:marRight w:val="0"/>
      <w:marTop w:val="0"/>
      <w:marBottom w:val="0"/>
      <w:divBdr>
        <w:top w:val="none" w:sz="0" w:space="0" w:color="auto"/>
        <w:left w:val="none" w:sz="0" w:space="0" w:color="auto"/>
        <w:bottom w:val="none" w:sz="0" w:space="0" w:color="auto"/>
        <w:right w:val="none" w:sz="0" w:space="0" w:color="auto"/>
      </w:divBdr>
    </w:div>
    <w:div w:id="503790836">
      <w:bodyDiv w:val="1"/>
      <w:marLeft w:val="0"/>
      <w:marRight w:val="0"/>
      <w:marTop w:val="0"/>
      <w:marBottom w:val="0"/>
      <w:divBdr>
        <w:top w:val="none" w:sz="0" w:space="0" w:color="auto"/>
        <w:left w:val="none" w:sz="0" w:space="0" w:color="auto"/>
        <w:bottom w:val="none" w:sz="0" w:space="0" w:color="auto"/>
        <w:right w:val="none" w:sz="0" w:space="0" w:color="auto"/>
      </w:divBdr>
    </w:div>
    <w:div w:id="513304812">
      <w:bodyDiv w:val="1"/>
      <w:marLeft w:val="0"/>
      <w:marRight w:val="0"/>
      <w:marTop w:val="0"/>
      <w:marBottom w:val="0"/>
      <w:divBdr>
        <w:top w:val="none" w:sz="0" w:space="0" w:color="auto"/>
        <w:left w:val="none" w:sz="0" w:space="0" w:color="auto"/>
        <w:bottom w:val="none" w:sz="0" w:space="0" w:color="auto"/>
        <w:right w:val="none" w:sz="0" w:space="0" w:color="auto"/>
      </w:divBdr>
    </w:div>
    <w:div w:id="513810001">
      <w:bodyDiv w:val="1"/>
      <w:marLeft w:val="0"/>
      <w:marRight w:val="0"/>
      <w:marTop w:val="0"/>
      <w:marBottom w:val="0"/>
      <w:divBdr>
        <w:top w:val="none" w:sz="0" w:space="0" w:color="auto"/>
        <w:left w:val="none" w:sz="0" w:space="0" w:color="auto"/>
        <w:bottom w:val="none" w:sz="0" w:space="0" w:color="auto"/>
        <w:right w:val="none" w:sz="0" w:space="0" w:color="auto"/>
      </w:divBdr>
    </w:div>
    <w:div w:id="523128484">
      <w:bodyDiv w:val="1"/>
      <w:marLeft w:val="0"/>
      <w:marRight w:val="0"/>
      <w:marTop w:val="0"/>
      <w:marBottom w:val="0"/>
      <w:divBdr>
        <w:top w:val="none" w:sz="0" w:space="0" w:color="auto"/>
        <w:left w:val="none" w:sz="0" w:space="0" w:color="auto"/>
        <w:bottom w:val="none" w:sz="0" w:space="0" w:color="auto"/>
        <w:right w:val="none" w:sz="0" w:space="0" w:color="auto"/>
      </w:divBdr>
    </w:div>
    <w:div w:id="528227495">
      <w:bodyDiv w:val="1"/>
      <w:marLeft w:val="0"/>
      <w:marRight w:val="0"/>
      <w:marTop w:val="0"/>
      <w:marBottom w:val="0"/>
      <w:divBdr>
        <w:top w:val="none" w:sz="0" w:space="0" w:color="auto"/>
        <w:left w:val="none" w:sz="0" w:space="0" w:color="auto"/>
        <w:bottom w:val="none" w:sz="0" w:space="0" w:color="auto"/>
        <w:right w:val="none" w:sz="0" w:space="0" w:color="auto"/>
      </w:divBdr>
    </w:div>
    <w:div w:id="560678385">
      <w:bodyDiv w:val="1"/>
      <w:marLeft w:val="0"/>
      <w:marRight w:val="0"/>
      <w:marTop w:val="0"/>
      <w:marBottom w:val="0"/>
      <w:divBdr>
        <w:top w:val="none" w:sz="0" w:space="0" w:color="auto"/>
        <w:left w:val="none" w:sz="0" w:space="0" w:color="auto"/>
        <w:bottom w:val="none" w:sz="0" w:space="0" w:color="auto"/>
        <w:right w:val="none" w:sz="0" w:space="0" w:color="auto"/>
      </w:divBdr>
    </w:div>
    <w:div w:id="577254742">
      <w:bodyDiv w:val="1"/>
      <w:marLeft w:val="0"/>
      <w:marRight w:val="0"/>
      <w:marTop w:val="0"/>
      <w:marBottom w:val="0"/>
      <w:divBdr>
        <w:top w:val="none" w:sz="0" w:space="0" w:color="auto"/>
        <w:left w:val="none" w:sz="0" w:space="0" w:color="auto"/>
        <w:bottom w:val="none" w:sz="0" w:space="0" w:color="auto"/>
        <w:right w:val="none" w:sz="0" w:space="0" w:color="auto"/>
      </w:divBdr>
    </w:div>
    <w:div w:id="583028347">
      <w:bodyDiv w:val="1"/>
      <w:marLeft w:val="0"/>
      <w:marRight w:val="0"/>
      <w:marTop w:val="0"/>
      <w:marBottom w:val="0"/>
      <w:divBdr>
        <w:top w:val="none" w:sz="0" w:space="0" w:color="auto"/>
        <w:left w:val="none" w:sz="0" w:space="0" w:color="auto"/>
        <w:bottom w:val="none" w:sz="0" w:space="0" w:color="auto"/>
        <w:right w:val="none" w:sz="0" w:space="0" w:color="auto"/>
      </w:divBdr>
    </w:div>
    <w:div w:id="585385341">
      <w:bodyDiv w:val="1"/>
      <w:marLeft w:val="0"/>
      <w:marRight w:val="0"/>
      <w:marTop w:val="0"/>
      <w:marBottom w:val="0"/>
      <w:divBdr>
        <w:top w:val="none" w:sz="0" w:space="0" w:color="auto"/>
        <w:left w:val="none" w:sz="0" w:space="0" w:color="auto"/>
        <w:bottom w:val="none" w:sz="0" w:space="0" w:color="auto"/>
        <w:right w:val="none" w:sz="0" w:space="0" w:color="auto"/>
      </w:divBdr>
    </w:div>
    <w:div w:id="585576335">
      <w:bodyDiv w:val="1"/>
      <w:marLeft w:val="0"/>
      <w:marRight w:val="0"/>
      <w:marTop w:val="0"/>
      <w:marBottom w:val="0"/>
      <w:divBdr>
        <w:top w:val="none" w:sz="0" w:space="0" w:color="auto"/>
        <w:left w:val="none" w:sz="0" w:space="0" w:color="auto"/>
        <w:bottom w:val="none" w:sz="0" w:space="0" w:color="auto"/>
        <w:right w:val="none" w:sz="0" w:space="0" w:color="auto"/>
      </w:divBdr>
    </w:div>
    <w:div w:id="610086400">
      <w:bodyDiv w:val="1"/>
      <w:marLeft w:val="0"/>
      <w:marRight w:val="0"/>
      <w:marTop w:val="0"/>
      <w:marBottom w:val="0"/>
      <w:divBdr>
        <w:top w:val="none" w:sz="0" w:space="0" w:color="auto"/>
        <w:left w:val="none" w:sz="0" w:space="0" w:color="auto"/>
        <w:bottom w:val="none" w:sz="0" w:space="0" w:color="auto"/>
        <w:right w:val="none" w:sz="0" w:space="0" w:color="auto"/>
      </w:divBdr>
    </w:div>
    <w:div w:id="614364457">
      <w:bodyDiv w:val="1"/>
      <w:marLeft w:val="0"/>
      <w:marRight w:val="0"/>
      <w:marTop w:val="0"/>
      <w:marBottom w:val="0"/>
      <w:divBdr>
        <w:top w:val="none" w:sz="0" w:space="0" w:color="auto"/>
        <w:left w:val="none" w:sz="0" w:space="0" w:color="auto"/>
        <w:bottom w:val="none" w:sz="0" w:space="0" w:color="auto"/>
        <w:right w:val="none" w:sz="0" w:space="0" w:color="auto"/>
      </w:divBdr>
    </w:div>
    <w:div w:id="619532624">
      <w:bodyDiv w:val="1"/>
      <w:marLeft w:val="0"/>
      <w:marRight w:val="0"/>
      <w:marTop w:val="0"/>
      <w:marBottom w:val="0"/>
      <w:divBdr>
        <w:top w:val="none" w:sz="0" w:space="0" w:color="auto"/>
        <w:left w:val="none" w:sz="0" w:space="0" w:color="auto"/>
        <w:bottom w:val="none" w:sz="0" w:space="0" w:color="auto"/>
        <w:right w:val="none" w:sz="0" w:space="0" w:color="auto"/>
      </w:divBdr>
    </w:div>
    <w:div w:id="626930288">
      <w:bodyDiv w:val="1"/>
      <w:marLeft w:val="0"/>
      <w:marRight w:val="0"/>
      <w:marTop w:val="0"/>
      <w:marBottom w:val="0"/>
      <w:divBdr>
        <w:top w:val="none" w:sz="0" w:space="0" w:color="auto"/>
        <w:left w:val="none" w:sz="0" w:space="0" w:color="auto"/>
        <w:bottom w:val="none" w:sz="0" w:space="0" w:color="auto"/>
        <w:right w:val="none" w:sz="0" w:space="0" w:color="auto"/>
      </w:divBdr>
    </w:div>
    <w:div w:id="628052595">
      <w:bodyDiv w:val="1"/>
      <w:marLeft w:val="0"/>
      <w:marRight w:val="0"/>
      <w:marTop w:val="0"/>
      <w:marBottom w:val="0"/>
      <w:divBdr>
        <w:top w:val="none" w:sz="0" w:space="0" w:color="auto"/>
        <w:left w:val="none" w:sz="0" w:space="0" w:color="auto"/>
        <w:bottom w:val="none" w:sz="0" w:space="0" w:color="auto"/>
        <w:right w:val="none" w:sz="0" w:space="0" w:color="auto"/>
      </w:divBdr>
    </w:div>
    <w:div w:id="637145649">
      <w:bodyDiv w:val="1"/>
      <w:marLeft w:val="0"/>
      <w:marRight w:val="0"/>
      <w:marTop w:val="0"/>
      <w:marBottom w:val="0"/>
      <w:divBdr>
        <w:top w:val="none" w:sz="0" w:space="0" w:color="auto"/>
        <w:left w:val="none" w:sz="0" w:space="0" w:color="auto"/>
        <w:bottom w:val="none" w:sz="0" w:space="0" w:color="auto"/>
        <w:right w:val="none" w:sz="0" w:space="0" w:color="auto"/>
      </w:divBdr>
    </w:div>
    <w:div w:id="637616075">
      <w:bodyDiv w:val="1"/>
      <w:marLeft w:val="0"/>
      <w:marRight w:val="0"/>
      <w:marTop w:val="0"/>
      <w:marBottom w:val="0"/>
      <w:divBdr>
        <w:top w:val="none" w:sz="0" w:space="0" w:color="auto"/>
        <w:left w:val="none" w:sz="0" w:space="0" w:color="auto"/>
        <w:bottom w:val="none" w:sz="0" w:space="0" w:color="auto"/>
        <w:right w:val="none" w:sz="0" w:space="0" w:color="auto"/>
      </w:divBdr>
    </w:div>
    <w:div w:id="637804227">
      <w:bodyDiv w:val="1"/>
      <w:marLeft w:val="0"/>
      <w:marRight w:val="0"/>
      <w:marTop w:val="0"/>
      <w:marBottom w:val="0"/>
      <w:divBdr>
        <w:top w:val="none" w:sz="0" w:space="0" w:color="auto"/>
        <w:left w:val="none" w:sz="0" w:space="0" w:color="auto"/>
        <w:bottom w:val="none" w:sz="0" w:space="0" w:color="auto"/>
        <w:right w:val="none" w:sz="0" w:space="0" w:color="auto"/>
      </w:divBdr>
    </w:div>
    <w:div w:id="645013339">
      <w:bodyDiv w:val="1"/>
      <w:marLeft w:val="0"/>
      <w:marRight w:val="0"/>
      <w:marTop w:val="0"/>
      <w:marBottom w:val="0"/>
      <w:divBdr>
        <w:top w:val="none" w:sz="0" w:space="0" w:color="auto"/>
        <w:left w:val="none" w:sz="0" w:space="0" w:color="auto"/>
        <w:bottom w:val="none" w:sz="0" w:space="0" w:color="auto"/>
        <w:right w:val="none" w:sz="0" w:space="0" w:color="auto"/>
      </w:divBdr>
    </w:div>
    <w:div w:id="647561679">
      <w:bodyDiv w:val="1"/>
      <w:marLeft w:val="0"/>
      <w:marRight w:val="0"/>
      <w:marTop w:val="0"/>
      <w:marBottom w:val="0"/>
      <w:divBdr>
        <w:top w:val="none" w:sz="0" w:space="0" w:color="auto"/>
        <w:left w:val="none" w:sz="0" w:space="0" w:color="auto"/>
        <w:bottom w:val="none" w:sz="0" w:space="0" w:color="auto"/>
        <w:right w:val="none" w:sz="0" w:space="0" w:color="auto"/>
      </w:divBdr>
    </w:div>
    <w:div w:id="648439169">
      <w:bodyDiv w:val="1"/>
      <w:marLeft w:val="0"/>
      <w:marRight w:val="0"/>
      <w:marTop w:val="0"/>
      <w:marBottom w:val="0"/>
      <w:divBdr>
        <w:top w:val="none" w:sz="0" w:space="0" w:color="auto"/>
        <w:left w:val="none" w:sz="0" w:space="0" w:color="auto"/>
        <w:bottom w:val="none" w:sz="0" w:space="0" w:color="auto"/>
        <w:right w:val="none" w:sz="0" w:space="0" w:color="auto"/>
      </w:divBdr>
    </w:div>
    <w:div w:id="655260624">
      <w:bodyDiv w:val="1"/>
      <w:marLeft w:val="0"/>
      <w:marRight w:val="0"/>
      <w:marTop w:val="0"/>
      <w:marBottom w:val="0"/>
      <w:divBdr>
        <w:top w:val="none" w:sz="0" w:space="0" w:color="auto"/>
        <w:left w:val="none" w:sz="0" w:space="0" w:color="auto"/>
        <w:bottom w:val="none" w:sz="0" w:space="0" w:color="auto"/>
        <w:right w:val="none" w:sz="0" w:space="0" w:color="auto"/>
      </w:divBdr>
    </w:div>
    <w:div w:id="682708139">
      <w:bodyDiv w:val="1"/>
      <w:marLeft w:val="0"/>
      <w:marRight w:val="0"/>
      <w:marTop w:val="0"/>
      <w:marBottom w:val="0"/>
      <w:divBdr>
        <w:top w:val="none" w:sz="0" w:space="0" w:color="auto"/>
        <w:left w:val="none" w:sz="0" w:space="0" w:color="auto"/>
        <w:bottom w:val="none" w:sz="0" w:space="0" w:color="auto"/>
        <w:right w:val="none" w:sz="0" w:space="0" w:color="auto"/>
      </w:divBdr>
    </w:div>
    <w:div w:id="684476396">
      <w:bodyDiv w:val="1"/>
      <w:marLeft w:val="0"/>
      <w:marRight w:val="0"/>
      <w:marTop w:val="0"/>
      <w:marBottom w:val="0"/>
      <w:divBdr>
        <w:top w:val="none" w:sz="0" w:space="0" w:color="auto"/>
        <w:left w:val="none" w:sz="0" w:space="0" w:color="auto"/>
        <w:bottom w:val="none" w:sz="0" w:space="0" w:color="auto"/>
        <w:right w:val="none" w:sz="0" w:space="0" w:color="auto"/>
      </w:divBdr>
    </w:div>
    <w:div w:id="698430938">
      <w:bodyDiv w:val="1"/>
      <w:marLeft w:val="0"/>
      <w:marRight w:val="0"/>
      <w:marTop w:val="0"/>
      <w:marBottom w:val="0"/>
      <w:divBdr>
        <w:top w:val="none" w:sz="0" w:space="0" w:color="auto"/>
        <w:left w:val="none" w:sz="0" w:space="0" w:color="auto"/>
        <w:bottom w:val="none" w:sz="0" w:space="0" w:color="auto"/>
        <w:right w:val="none" w:sz="0" w:space="0" w:color="auto"/>
      </w:divBdr>
    </w:div>
    <w:div w:id="699936077">
      <w:bodyDiv w:val="1"/>
      <w:marLeft w:val="0"/>
      <w:marRight w:val="0"/>
      <w:marTop w:val="0"/>
      <w:marBottom w:val="0"/>
      <w:divBdr>
        <w:top w:val="none" w:sz="0" w:space="0" w:color="auto"/>
        <w:left w:val="none" w:sz="0" w:space="0" w:color="auto"/>
        <w:bottom w:val="none" w:sz="0" w:space="0" w:color="auto"/>
        <w:right w:val="none" w:sz="0" w:space="0" w:color="auto"/>
      </w:divBdr>
    </w:div>
    <w:div w:id="702173140">
      <w:bodyDiv w:val="1"/>
      <w:marLeft w:val="0"/>
      <w:marRight w:val="0"/>
      <w:marTop w:val="0"/>
      <w:marBottom w:val="0"/>
      <w:divBdr>
        <w:top w:val="none" w:sz="0" w:space="0" w:color="auto"/>
        <w:left w:val="none" w:sz="0" w:space="0" w:color="auto"/>
        <w:bottom w:val="none" w:sz="0" w:space="0" w:color="auto"/>
        <w:right w:val="none" w:sz="0" w:space="0" w:color="auto"/>
      </w:divBdr>
    </w:div>
    <w:div w:id="717170430">
      <w:bodyDiv w:val="1"/>
      <w:marLeft w:val="0"/>
      <w:marRight w:val="0"/>
      <w:marTop w:val="0"/>
      <w:marBottom w:val="0"/>
      <w:divBdr>
        <w:top w:val="none" w:sz="0" w:space="0" w:color="auto"/>
        <w:left w:val="none" w:sz="0" w:space="0" w:color="auto"/>
        <w:bottom w:val="none" w:sz="0" w:space="0" w:color="auto"/>
        <w:right w:val="none" w:sz="0" w:space="0" w:color="auto"/>
      </w:divBdr>
    </w:div>
    <w:div w:id="756560491">
      <w:bodyDiv w:val="1"/>
      <w:marLeft w:val="0"/>
      <w:marRight w:val="0"/>
      <w:marTop w:val="0"/>
      <w:marBottom w:val="0"/>
      <w:divBdr>
        <w:top w:val="none" w:sz="0" w:space="0" w:color="auto"/>
        <w:left w:val="none" w:sz="0" w:space="0" w:color="auto"/>
        <w:bottom w:val="none" w:sz="0" w:space="0" w:color="auto"/>
        <w:right w:val="none" w:sz="0" w:space="0" w:color="auto"/>
      </w:divBdr>
    </w:div>
    <w:div w:id="756681055">
      <w:bodyDiv w:val="1"/>
      <w:marLeft w:val="0"/>
      <w:marRight w:val="0"/>
      <w:marTop w:val="0"/>
      <w:marBottom w:val="0"/>
      <w:divBdr>
        <w:top w:val="none" w:sz="0" w:space="0" w:color="auto"/>
        <w:left w:val="none" w:sz="0" w:space="0" w:color="auto"/>
        <w:bottom w:val="none" w:sz="0" w:space="0" w:color="auto"/>
        <w:right w:val="none" w:sz="0" w:space="0" w:color="auto"/>
      </w:divBdr>
    </w:div>
    <w:div w:id="758645946">
      <w:bodyDiv w:val="1"/>
      <w:marLeft w:val="0"/>
      <w:marRight w:val="0"/>
      <w:marTop w:val="0"/>
      <w:marBottom w:val="0"/>
      <w:divBdr>
        <w:top w:val="none" w:sz="0" w:space="0" w:color="auto"/>
        <w:left w:val="none" w:sz="0" w:space="0" w:color="auto"/>
        <w:bottom w:val="none" w:sz="0" w:space="0" w:color="auto"/>
        <w:right w:val="none" w:sz="0" w:space="0" w:color="auto"/>
      </w:divBdr>
    </w:div>
    <w:div w:id="768238525">
      <w:bodyDiv w:val="1"/>
      <w:marLeft w:val="0"/>
      <w:marRight w:val="0"/>
      <w:marTop w:val="0"/>
      <w:marBottom w:val="0"/>
      <w:divBdr>
        <w:top w:val="none" w:sz="0" w:space="0" w:color="auto"/>
        <w:left w:val="none" w:sz="0" w:space="0" w:color="auto"/>
        <w:bottom w:val="none" w:sz="0" w:space="0" w:color="auto"/>
        <w:right w:val="none" w:sz="0" w:space="0" w:color="auto"/>
      </w:divBdr>
    </w:div>
    <w:div w:id="787775473">
      <w:bodyDiv w:val="1"/>
      <w:marLeft w:val="0"/>
      <w:marRight w:val="0"/>
      <w:marTop w:val="0"/>
      <w:marBottom w:val="0"/>
      <w:divBdr>
        <w:top w:val="none" w:sz="0" w:space="0" w:color="auto"/>
        <w:left w:val="none" w:sz="0" w:space="0" w:color="auto"/>
        <w:bottom w:val="none" w:sz="0" w:space="0" w:color="auto"/>
        <w:right w:val="none" w:sz="0" w:space="0" w:color="auto"/>
      </w:divBdr>
    </w:div>
    <w:div w:id="793325286">
      <w:bodyDiv w:val="1"/>
      <w:marLeft w:val="0"/>
      <w:marRight w:val="0"/>
      <w:marTop w:val="0"/>
      <w:marBottom w:val="0"/>
      <w:divBdr>
        <w:top w:val="none" w:sz="0" w:space="0" w:color="auto"/>
        <w:left w:val="none" w:sz="0" w:space="0" w:color="auto"/>
        <w:bottom w:val="none" w:sz="0" w:space="0" w:color="auto"/>
        <w:right w:val="none" w:sz="0" w:space="0" w:color="auto"/>
      </w:divBdr>
    </w:div>
    <w:div w:id="798576386">
      <w:bodyDiv w:val="1"/>
      <w:marLeft w:val="0"/>
      <w:marRight w:val="0"/>
      <w:marTop w:val="0"/>
      <w:marBottom w:val="0"/>
      <w:divBdr>
        <w:top w:val="none" w:sz="0" w:space="0" w:color="auto"/>
        <w:left w:val="none" w:sz="0" w:space="0" w:color="auto"/>
        <w:bottom w:val="none" w:sz="0" w:space="0" w:color="auto"/>
        <w:right w:val="none" w:sz="0" w:space="0" w:color="auto"/>
      </w:divBdr>
    </w:div>
    <w:div w:id="806317613">
      <w:bodyDiv w:val="1"/>
      <w:marLeft w:val="0"/>
      <w:marRight w:val="0"/>
      <w:marTop w:val="0"/>
      <w:marBottom w:val="0"/>
      <w:divBdr>
        <w:top w:val="none" w:sz="0" w:space="0" w:color="auto"/>
        <w:left w:val="none" w:sz="0" w:space="0" w:color="auto"/>
        <w:bottom w:val="none" w:sz="0" w:space="0" w:color="auto"/>
        <w:right w:val="none" w:sz="0" w:space="0" w:color="auto"/>
      </w:divBdr>
    </w:div>
    <w:div w:id="821120404">
      <w:bodyDiv w:val="1"/>
      <w:marLeft w:val="0"/>
      <w:marRight w:val="0"/>
      <w:marTop w:val="0"/>
      <w:marBottom w:val="0"/>
      <w:divBdr>
        <w:top w:val="none" w:sz="0" w:space="0" w:color="auto"/>
        <w:left w:val="none" w:sz="0" w:space="0" w:color="auto"/>
        <w:bottom w:val="none" w:sz="0" w:space="0" w:color="auto"/>
        <w:right w:val="none" w:sz="0" w:space="0" w:color="auto"/>
      </w:divBdr>
    </w:div>
    <w:div w:id="824974924">
      <w:bodyDiv w:val="1"/>
      <w:marLeft w:val="0"/>
      <w:marRight w:val="0"/>
      <w:marTop w:val="0"/>
      <w:marBottom w:val="0"/>
      <w:divBdr>
        <w:top w:val="none" w:sz="0" w:space="0" w:color="auto"/>
        <w:left w:val="none" w:sz="0" w:space="0" w:color="auto"/>
        <w:bottom w:val="none" w:sz="0" w:space="0" w:color="auto"/>
        <w:right w:val="none" w:sz="0" w:space="0" w:color="auto"/>
      </w:divBdr>
    </w:div>
    <w:div w:id="827597128">
      <w:bodyDiv w:val="1"/>
      <w:marLeft w:val="0"/>
      <w:marRight w:val="0"/>
      <w:marTop w:val="0"/>
      <w:marBottom w:val="0"/>
      <w:divBdr>
        <w:top w:val="none" w:sz="0" w:space="0" w:color="auto"/>
        <w:left w:val="none" w:sz="0" w:space="0" w:color="auto"/>
        <w:bottom w:val="none" w:sz="0" w:space="0" w:color="auto"/>
        <w:right w:val="none" w:sz="0" w:space="0" w:color="auto"/>
      </w:divBdr>
    </w:div>
    <w:div w:id="828406209">
      <w:bodyDiv w:val="1"/>
      <w:marLeft w:val="0"/>
      <w:marRight w:val="0"/>
      <w:marTop w:val="0"/>
      <w:marBottom w:val="0"/>
      <w:divBdr>
        <w:top w:val="none" w:sz="0" w:space="0" w:color="auto"/>
        <w:left w:val="none" w:sz="0" w:space="0" w:color="auto"/>
        <w:bottom w:val="none" w:sz="0" w:space="0" w:color="auto"/>
        <w:right w:val="none" w:sz="0" w:space="0" w:color="auto"/>
      </w:divBdr>
    </w:div>
    <w:div w:id="847717782">
      <w:bodyDiv w:val="1"/>
      <w:marLeft w:val="0"/>
      <w:marRight w:val="0"/>
      <w:marTop w:val="0"/>
      <w:marBottom w:val="0"/>
      <w:divBdr>
        <w:top w:val="none" w:sz="0" w:space="0" w:color="auto"/>
        <w:left w:val="none" w:sz="0" w:space="0" w:color="auto"/>
        <w:bottom w:val="none" w:sz="0" w:space="0" w:color="auto"/>
        <w:right w:val="none" w:sz="0" w:space="0" w:color="auto"/>
      </w:divBdr>
    </w:div>
    <w:div w:id="849484841">
      <w:bodyDiv w:val="1"/>
      <w:marLeft w:val="0"/>
      <w:marRight w:val="0"/>
      <w:marTop w:val="0"/>
      <w:marBottom w:val="0"/>
      <w:divBdr>
        <w:top w:val="none" w:sz="0" w:space="0" w:color="auto"/>
        <w:left w:val="none" w:sz="0" w:space="0" w:color="auto"/>
        <w:bottom w:val="none" w:sz="0" w:space="0" w:color="auto"/>
        <w:right w:val="none" w:sz="0" w:space="0" w:color="auto"/>
      </w:divBdr>
    </w:div>
    <w:div w:id="855735597">
      <w:bodyDiv w:val="1"/>
      <w:marLeft w:val="0"/>
      <w:marRight w:val="0"/>
      <w:marTop w:val="0"/>
      <w:marBottom w:val="0"/>
      <w:divBdr>
        <w:top w:val="none" w:sz="0" w:space="0" w:color="auto"/>
        <w:left w:val="none" w:sz="0" w:space="0" w:color="auto"/>
        <w:bottom w:val="none" w:sz="0" w:space="0" w:color="auto"/>
        <w:right w:val="none" w:sz="0" w:space="0" w:color="auto"/>
      </w:divBdr>
    </w:div>
    <w:div w:id="864944368">
      <w:bodyDiv w:val="1"/>
      <w:marLeft w:val="0"/>
      <w:marRight w:val="0"/>
      <w:marTop w:val="0"/>
      <w:marBottom w:val="0"/>
      <w:divBdr>
        <w:top w:val="none" w:sz="0" w:space="0" w:color="auto"/>
        <w:left w:val="none" w:sz="0" w:space="0" w:color="auto"/>
        <w:bottom w:val="none" w:sz="0" w:space="0" w:color="auto"/>
        <w:right w:val="none" w:sz="0" w:space="0" w:color="auto"/>
      </w:divBdr>
    </w:div>
    <w:div w:id="865338642">
      <w:bodyDiv w:val="1"/>
      <w:marLeft w:val="0"/>
      <w:marRight w:val="0"/>
      <w:marTop w:val="0"/>
      <w:marBottom w:val="0"/>
      <w:divBdr>
        <w:top w:val="none" w:sz="0" w:space="0" w:color="auto"/>
        <w:left w:val="none" w:sz="0" w:space="0" w:color="auto"/>
        <w:bottom w:val="none" w:sz="0" w:space="0" w:color="auto"/>
        <w:right w:val="none" w:sz="0" w:space="0" w:color="auto"/>
      </w:divBdr>
    </w:div>
    <w:div w:id="874006942">
      <w:bodyDiv w:val="1"/>
      <w:marLeft w:val="0"/>
      <w:marRight w:val="0"/>
      <w:marTop w:val="0"/>
      <w:marBottom w:val="0"/>
      <w:divBdr>
        <w:top w:val="none" w:sz="0" w:space="0" w:color="auto"/>
        <w:left w:val="none" w:sz="0" w:space="0" w:color="auto"/>
        <w:bottom w:val="none" w:sz="0" w:space="0" w:color="auto"/>
        <w:right w:val="none" w:sz="0" w:space="0" w:color="auto"/>
      </w:divBdr>
    </w:div>
    <w:div w:id="889995218">
      <w:bodyDiv w:val="1"/>
      <w:marLeft w:val="0"/>
      <w:marRight w:val="0"/>
      <w:marTop w:val="0"/>
      <w:marBottom w:val="0"/>
      <w:divBdr>
        <w:top w:val="none" w:sz="0" w:space="0" w:color="auto"/>
        <w:left w:val="none" w:sz="0" w:space="0" w:color="auto"/>
        <w:bottom w:val="none" w:sz="0" w:space="0" w:color="auto"/>
        <w:right w:val="none" w:sz="0" w:space="0" w:color="auto"/>
      </w:divBdr>
    </w:div>
    <w:div w:id="902183167">
      <w:bodyDiv w:val="1"/>
      <w:marLeft w:val="0"/>
      <w:marRight w:val="0"/>
      <w:marTop w:val="0"/>
      <w:marBottom w:val="0"/>
      <w:divBdr>
        <w:top w:val="none" w:sz="0" w:space="0" w:color="auto"/>
        <w:left w:val="none" w:sz="0" w:space="0" w:color="auto"/>
        <w:bottom w:val="none" w:sz="0" w:space="0" w:color="auto"/>
        <w:right w:val="none" w:sz="0" w:space="0" w:color="auto"/>
      </w:divBdr>
    </w:div>
    <w:div w:id="913901460">
      <w:bodyDiv w:val="1"/>
      <w:marLeft w:val="0"/>
      <w:marRight w:val="0"/>
      <w:marTop w:val="0"/>
      <w:marBottom w:val="0"/>
      <w:divBdr>
        <w:top w:val="none" w:sz="0" w:space="0" w:color="auto"/>
        <w:left w:val="none" w:sz="0" w:space="0" w:color="auto"/>
        <w:bottom w:val="none" w:sz="0" w:space="0" w:color="auto"/>
        <w:right w:val="none" w:sz="0" w:space="0" w:color="auto"/>
      </w:divBdr>
    </w:div>
    <w:div w:id="915361480">
      <w:bodyDiv w:val="1"/>
      <w:marLeft w:val="0"/>
      <w:marRight w:val="0"/>
      <w:marTop w:val="0"/>
      <w:marBottom w:val="0"/>
      <w:divBdr>
        <w:top w:val="none" w:sz="0" w:space="0" w:color="auto"/>
        <w:left w:val="none" w:sz="0" w:space="0" w:color="auto"/>
        <w:bottom w:val="none" w:sz="0" w:space="0" w:color="auto"/>
        <w:right w:val="none" w:sz="0" w:space="0" w:color="auto"/>
      </w:divBdr>
    </w:div>
    <w:div w:id="919289900">
      <w:bodyDiv w:val="1"/>
      <w:marLeft w:val="0"/>
      <w:marRight w:val="0"/>
      <w:marTop w:val="0"/>
      <w:marBottom w:val="0"/>
      <w:divBdr>
        <w:top w:val="none" w:sz="0" w:space="0" w:color="auto"/>
        <w:left w:val="none" w:sz="0" w:space="0" w:color="auto"/>
        <w:bottom w:val="none" w:sz="0" w:space="0" w:color="auto"/>
        <w:right w:val="none" w:sz="0" w:space="0" w:color="auto"/>
      </w:divBdr>
    </w:div>
    <w:div w:id="920212046">
      <w:bodyDiv w:val="1"/>
      <w:marLeft w:val="0"/>
      <w:marRight w:val="0"/>
      <w:marTop w:val="0"/>
      <w:marBottom w:val="0"/>
      <w:divBdr>
        <w:top w:val="none" w:sz="0" w:space="0" w:color="auto"/>
        <w:left w:val="none" w:sz="0" w:space="0" w:color="auto"/>
        <w:bottom w:val="none" w:sz="0" w:space="0" w:color="auto"/>
        <w:right w:val="none" w:sz="0" w:space="0" w:color="auto"/>
      </w:divBdr>
    </w:div>
    <w:div w:id="928317977">
      <w:bodyDiv w:val="1"/>
      <w:marLeft w:val="0"/>
      <w:marRight w:val="0"/>
      <w:marTop w:val="0"/>
      <w:marBottom w:val="0"/>
      <w:divBdr>
        <w:top w:val="none" w:sz="0" w:space="0" w:color="auto"/>
        <w:left w:val="none" w:sz="0" w:space="0" w:color="auto"/>
        <w:bottom w:val="none" w:sz="0" w:space="0" w:color="auto"/>
        <w:right w:val="none" w:sz="0" w:space="0" w:color="auto"/>
      </w:divBdr>
    </w:div>
    <w:div w:id="942029009">
      <w:bodyDiv w:val="1"/>
      <w:marLeft w:val="0"/>
      <w:marRight w:val="0"/>
      <w:marTop w:val="0"/>
      <w:marBottom w:val="0"/>
      <w:divBdr>
        <w:top w:val="none" w:sz="0" w:space="0" w:color="auto"/>
        <w:left w:val="none" w:sz="0" w:space="0" w:color="auto"/>
        <w:bottom w:val="none" w:sz="0" w:space="0" w:color="auto"/>
        <w:right w:val="none" w:sz="0" w:space="0" w:color="auto"/>
      </w:divBdr>
    </w:div>
    <w:div w:id="942883734">
      <w:bodyDiv w:val="1"/>
      <w:marLeft w:val="0"/>
      <w:marRight w:val="0"/>
      <w:marTop w:val="0"/>
      <w:marBottom w:val="0"/>
      <w:divBdr>
        <w:top w:val="none" w:sz="0" w:space="0" w:color="auto"/>
        <w:left w:val="none" w:sz="0" w:space="0" w:color="auto"/>
        <w:bottom w:val="none" w:sz="0" w:space="0" w:color="auto"/>
        <w:right w:val="none" w:sz="0" w:space="0" w:color="auto"/>
      </w:divBdr>
    </w:div>
    <w:div w:id="947812387">
      <w:bodyDiv w:val="1"/>
      <w:marLeft w:val="0"/>
      <w:marRight w:val="0"/>
      <w:marTop w:val="0"/>
      <w:marBottom w:val="0"/>
      <w:divBdr>
        <w:top w:val="none" w:sz="0" w:space="0" w:color="auto"/>
        <w:left w:val="none" w:sz="0" w:space="0" w:color="auto"/>
        <w:bottom w:val="none" w:sz="0" w:space="0" w:color="auto"/>
        <w:right w:val="none" w:sz="0" w:space="0" w:color="auto"/>
      </w:divBdr>
    </w:div>
    <w:div w:id="969170730">
      <w:bodyDiv w:val="1"/>
      <w:marLeft w:val="0"/>
      <w:marRight w:val="0"/>
      <w:marTop w:val="0"/>
      <w:marBottom w:val="0"/>
      <w:divBdr>
        <w:top w:val="none" w:sz="0" w:space="0" w:color="auto"/>
        <w:left w:val="none" w:sz="0" w:space="0" w:color="auto"/>
        <w:bottom w:val="none" w:sz="0" w:space="0" w:color="auto"/>
        <w:right w:val="none" w:sz="0" w:space="0" w:color="auto"/>
      </w:divBdr>
    </w:div>
    <w:div w:id="969818708">
      <w:bodyDiv w:val="1"/>
      <w:marLeft w:val="0"/>
      <w:marRight w:val="0"/>
      <w:marTop w:val="0"/>
      <w:marBottom w:val="0"/>
      <w:divBdr>
        <w:top w:val="none" w:sz="0" w:space="0" w:color="auto"/>
        <w:left w:val="none" w:sz="0" w:space="0" w:color="auto"/>
        <w:bottom w:val="none" w:sz="0" w:space="0" w:color="auto"/>
        <w:right w:val="none" w:sz="0" w:space="0" w:color="auto"/>
      </w:divBdr>
    </w:div>
    <w:div w:id="978609219">
      <w:bodyDiv w:val="1"/>
      <w:marLeft w:val="0"/>
      <w:marRight w:val="0"/>
      <w:marTop w:val="0"/>
      <w:marBottom w:val="0"/>
      <w:divBdr>
        <w:top w:val="none" w:sz="0" w:space="0" w:color="auto"/>
        <w:left w:val="none" w:sz="0" w:space="0" w:color="auto"/>
        <w:bottom w:val="none" w:sz="0" w:space="0" w:color="auto"/>
        <w:right w:val="none" w:sz="0" w:space="0" w:color="auto"/>
      </w:divBdr>
    </w:div>
    <w:div w:id="983507478">
      <w:bodyDiv w:val="1"/>
      <w:marLeft w:val="0"/>
      <w:marRight w:val="0"/>
      <w:marTop w:val="0"/>
      <w:marBottom w:val="0"/>
      <w:divBdr>
        <w:top w:val="none" w:sz="0" w:space="0" w:color="auto"/>
        <w:left w:val="none" w:sz="0" w:space="0" w:color="auto"/>
        <w:bottom w:val="none" w:sz="0" w:space="0" w:color="auto"/>
        <w:right w:val="none" w:sz="0" w:space="0" w:color="auto"/>
      </w:divBdr>
    </w:div>
    <w:div w:id="990252819">
      <w:bodyDiv w:val="1"/>
      <w:marLeft w:val="0"/>
      <w:marRight w:val="0"/>
      <w:marTop w:val="0"/>
      <w:marBottom w:val="0"/>
      <w:divBdr>
        <w:top w:val="none" w:sz="0" w:space="0" w:color="auto"/>
        <w:left w:val="none" w:sz="0" w:space="0" w:color="auto"/>
        <w:bottom w:val="none" w:sz="0" w:space="0" w:color="auto"/>
        <w:right w:val="none" w:sz="0" w:space="0" w:color="auto"/>
      </w:divBdr>
    </w:div>
    <w:div w:id="992635863">
      <w:bodyDiv w:val="1"/>
      <w:marLeft w:val="0"/>
      <w:marRight w:val="0"/>
      <w:marTop w:val="0"/>
      <w:marBottom w:val="0"/>
      <w:divBdr>
        <w:top w:val="none" w:sz="0" w:space="0" w:color="auto"/>
        <w:left w:val="none" w:sz="0" w:space="0" w:color="auto"/>
        <w:bottom w:val="none" w:sz="0" w:space="0" w:color="auto"/>
        <w:right w:val="none" w:sz="0" w:space="0" w:color="auto"/>
      </w:divBdr>
    </w:div>
    <w:div w:id="994261995">
      <w:bodyDiv w:val="1"/>
      <w:marLeft w:val="0"/>
      <w:marRight w:val="0"/>
      <w:marTop w:val="0"/>
      <w:marBottom w:val="0"/>
      <w:divBdr>
        <w:top w:val="none" w:sz="0" w:space="0" w:color="auto"/>
        <w:left w:val="none" w:sz="0" w:space="0" w:color="auto"/>
        <w:bottom w:val="none" w:sz="0" w:space="0" w:color="auto"/>
        <w:right w:val="none" w:sz="0" w:space="0" w:color="auto"/>
      </w:divBdr>
    </w:div>
    <w:div w:id="998310904">
      <w:bodyDiv w:val="1"/>
      <w:marLeft w:val="0"/>
      <w:marRight w:val="0"/>
      <w:marTop w:val="0"/>
      <w:marBottom w:val="0"/>
      <w:divBdr>
        <w:top w:val="none" w:sz="0" w:space="0" w:color="auto"/>
        <w:left w:val="none" w:sz="0" w:space="0" w:color="auto"/>
        <w:bottom w:val="none" w:sz="0" w:space="0" w:color="auto"/>
        <w:right w:val="none" w:sz="0" w:space="0" w:color="auto"/>
      </w:divBdr>
    </w:div>
    <w:div w:id="1011224209">
      <w:bodyDiv w:val="1"/>
      <w:marLeft w:val="0"/>
      <w:marRight w:val="0"/>
      <w:marTop w:val="0"/>
      <w:marBottom w:val="0"/>
      <w:divBdr>
        <w:top w:val="none" w:sz="0" w:space="0" w:color="auto"/>
        <w:left w:val="none" w:sz="0" w:space="0" w:color="auto"/>
        <w:bottom w:val="none" w:sz="0" w:space="0" w:color="auto"/>
        <w:right w:val="none" w:sz="0" w:space="0" w:color="auto"/>
      </w:divBdr>
    </w:div>
    <w:div w:id="1043747144">
      <w:bodyDiv w:val="1"/>
      <w:marLeft w:val="0"/>
      <w:marRight w:val="0"/>
      <w:marTop w:val="0"/>
      <w:marBottom w:val="0"/>
      <w:divBdr>
        <w:top w:val="none" w:sz="0" w:space="0" w:color="auto"/>
        <w:left w:val="none" w:sz="0" w:space="0" w:color="auto"/>
        <w:bottom w:val="none" w:sz="0" w:space="0" w:color="auto"/>
        <w:right w:val="none" w:sz="0" w:space="0" w:color="auto"/>
      </w:divBdr>
    </w:div>
    <w:div w:id="1049841861">
      <w:bodyDiv w:val="1"/>
      <w:marLeft w:val="0"/>
      <w:marRight w:val="0"/>
      <w:marTop w:val="0"/>
      <w:marBottom w:val="0"/>
      <w:divBdr>
        <w:top w:val="none" w:sz="0" w:space="0" w:color="auto"/>
        <w:left w:val="none" w:sz="0" w:space="0" w:color="auto"/>
        <w:bottom w:val="none" w:sz="0" w:space="0" w:color="auto"/>
        <w:right w:val="none" w:sz="0" w:space="0" w:color="auto"/>
      </w:divBdr>
    </w:div>
    <w:div w:id="1057626733">
      <w:bodyDiv w:val="1"/>
      <w:marLeft w:val="0"/>
      <w:marRight w:val="0"/>
      <w:marTop w:val="0"/>
      <w:marBottom w:val="0"/>
      <w:divBdr>
        <w:top w:val="none" w:sz="0" w:space="0" w:color="auto"/>
        <w:left w:val="none" w:sz="0" w:space="0" w:color="auto"/>
        <w:bottom w:val="none" w:sz="0" w:space="0" w:color="auto"/>
        <w:right w:val="none" w:sz="0" w:space="0" w:color="auto"/>
      </w:divBdr>
    </w:div>
    <w:div w:id="1064064376">
      <w:bodyDiv w:val="1"/>
      <w:marLeft w:val="0"/>
      <w:marRight w:val="0"/>
      <w:marTop w:val="0"/>
      <w:marBottom w:val="0"/>
      <w:divBdr>
        <w:top w:val="none" w:sz="0" w:space="0" w:color="auto"/>
        <w:left w:val="none" w:sz="0" w:space="0" w:color="auto"/>
        <w:bottom w:val="none" w:sz="0" w:space="0" w:color="auto"/>
        <w:right w:val="none" w:sz="0" w:space="0" w:color="auto"/>
      </w:divBdr>
    </w:div>
    <w:div w:id="1084689923">
      <w:bodyDiv w:val="1"/>
      <w:marLeft w:val="0"/>
      <w:marRight w:val="0"/>
      <w:marTop w:val="0"/>
      <w:marBottom w:val="0"/>
      <w:divBdr>
        <w:top w:val="none" w:sz="0" w:space="0" w:color="auto"/>
        <w:left w:val="none" w:sz="0" w:space="0" w:color="auto"/>
        <w:bottom w:val="none" w:sz="0" w:space="0" w:color="auto"/>
        <w:right w:val="none" w:sz="0" w:space="0" w:color="auto"/>
      </w:divBdr>
    </w:div>
    <w:div w:id="1095439034">
      <w:bodyDiv w:val="1"/>
      <w:marLeft w:val="0"/>
      <w:marRight w:val="0"/>
      <w:marTop w:val="0"/>
      <w:marBottom w:val="0"/>
      <w:divBdr>
        <w:top w:val="none" w:sz="0" w:space="0" w:color="auto"/>
        <w:left w:val="none" w:sz="0" w:space="0" w:color="auto"/>
        <w:bottom w:val="none" w:sz="0" w:space="0" w:color="auto"/>
        <w:right w:val="none" w:sz="0" w:space="0" w:color="auto"/>
      </w:divBdr>
    </w:div>
    <w:div w:id="1108038260">
      <w:bodyDiv w:val="1"/>
      <w:marLeft w:val="0"/>
      <w:marRight w:val="0"/>
      <w:marTop w:val="0"/>
      <w:marBottom w:val="0"/>
      <w:divBdr>
        <w:top w:val="none" w:sz="0" w:space="0" w:color="auto"/>
        <w:left w:val="none" w:sz="0" w:space="0" w:color="auto"/>
        <w:bottom w:val="none" w:sz="0" w:space="0" w:color="auto"/>
        <w:right w:val="none" w:sz="0" w:space="0" w:color="auto"/>
      </w:divBdr>
    </w:div>
    <w:div w:id="1108700458">
      <w:bodyDiv w:val="1"/>
      <w:marLeft w:val="0"/>
      <w:marRight w:val="0"/>
      <w:marTop w:val="0"/>
      <w:marBottom w:val="0"/>
      <w:divBdr>
        <w:top w:val="none" w:sz="0" w:space="0" w:color="auto"/>
        <w:left w:val="none" w:sz="0" w:space="0" w:color="auto"/>
        <w:bottom w:val="none" w:sz="0" w:space="0" w:color="auto"/>
        <w:right w:val="none" w:sz="0" w:space="0" w:color="auto"/>
      </w:divBdr>
    </w:div>
    <w:div w:id="1109665545">
      <w:bodyDiv w:val="1"/>
      <w:marLeft w:val="0"/>
      <w:marRight w:val="0"/>
      <w:marTop w:val="0"/>
      <w:marBottom w:val="0"/>
      <w:divBdr>
        <w:top w:val="none" w:sz="0" w:space="0" w:color="auto"/>
        <w:left w:val="none" w:sz="0" w:space="0" w:color="auto"/>
        <w:bottom w:val="none" w:sz="0" w:space="0" w:color="auto"/>
        <w:right w:val="none" w:sz="0" w:space="0" w:color="auto"/>
      </w:divBdr>
    </w:div>
    <w:div w:id="1131438609">
      <w:bodyDiv w:val="1"/>
      <w:marLeft w:val="0"/>
      <w:marRight w:val="0"/>
      <w:marTop w:val="0"/>
      <w:marBottom w:val="0"/>
      <w:divBdr>
        <w:top w:val="none" w:sz="0" w:space="0" w:color="auto"/>
        <w:left w:val="none" w:sz="0" w:space="0" w:color="auto"/>
        <w:bottom w:val="none" w:sz="0" w:space="0" w:color="auto"/>
        <w:right w:val="none" w:sz="0" w:space="0" w:color="auto"/>
      </w:divBdr>
    </w:div>
    <w:div w:id="1145702625">
      <w:bodyDiv w:val="1"/>
      <w:marLeft w:val="0"/>
      <w:marRight w:val="0"/>
      <w:marTop w:val="0"/>
      <w:marBottom w:val="0"/>
      <w:divBdr>
        <w:top w:val="none" w:sz="0" w:space="0" w:color="auto"/>
        <w:left w:val="none" w:sz="0" w:space="0" w:color="auto"/>
        <w:bottom w:val="none" w:sz="0" w:space="0" w:color="auto"/>
        <w:right w:val="none" w:sz="0" w:space="0" w:color="auto"/>
      </w:divBdr>
    </w:div>
    <w:div w:id="1166239011">
      <w:bodyDiv w:val="1"/>
      <w:marLeft w:val="0"/>
      <w:marRight w:val="0"/>
      <w:marTop w:val="0"/>
      <w:marBottom w:val="0"/>
      <w:divBdr>
        <w:top w:val="none" w:sz="0" w:space="0" w:color="auto"/>
        <w:left w:val="none" w:sz="0" w:space="0" w:color="auto"/>
        <w:bottom w:val="none" w:sz="0" w:space="0" w:color="auto"/>
        <w:right w:val="none" w:sz="0" w:space="0" w:color="auto"/>
      </w:divBdr>
    </w:div>
    <w:div w:id="1167552307">
      <w:bodyDiv w:val="1"/>
      <w:marLeft w:val="0"/>
      <w:marRight w:val="0"/>
      <w:marTop w:val="0"/>
      <w:marBottom w:val="0"/>
      <w:divBdr>
        <w:top w:val="none" w:sz="0" w:space="0" w:color="auto"/>
        <w:left w:val="none" w:sz="0" w:space="0" w:color="auto"/>
        <w:bottom w:val="none" w:sz="0" w:space="0" w:color="auto"/>
        <w:right w:val="none" w:sz="0" w:space="0" w:color="auto"/>
      </w:divBdr>
    </w:div>
    <w:div w:id="1227227257">
      <w:bodyDiv w:val="1"/>
      <w:marLeft w:val="0"/>
      <w:marRight w:val="0"/>
      <w:marTop w:val="0"/>
      <w:marBottom w:val="0"/>
      <w:divBdr>
        <w:top w:val="none" w:sz="0" w:space="0" w:color="auto"/>
        <w:left w:val="none" w:sz="0" w:space="0" w:color="auto"/>
        <w:bottom w:val="none" w:sz="0" w:space="0" w:color="auto"/>
        <w:right w:val="none" w:sz="0" w:space="0" w:color="auto"/>
      </w:divBdr>
    </w:div>
    <w:div w:id="1232154516">
      <w:bodyDiv w:val="1"/>
      <w:marLeft w:val="0"/>
      <w:marRight w:val="0"/>
      <w:marTop w:val="0"/>
      <w:marBottom w:val="0"/>
      <w:divBdr>
        <w:top w:val="none" w:sz="0" w:space="0" w:color="auto"/>
        <w:left w:val="none" w:sz="0" w:space="0" w:color="auto"/>
        <w:bottom w:val="none" w:sz="0" w:space="0" w:color="auto"/>
        <w:right w:val="none" w:sz="0" w:space="0" w:color="auto"/>
      </w:divBdr>
    </w:div>
    <w:div w:id="1238171845">
      <w:bodyDiv w:val="1"/>
      <w:marLeft w:val="0"/>
      <w:marRight w:val="0"/>
      <w:marTop w:val="0"/>
      <w:marBottom w:val="0"/>
      <w:divBdr>
        <w:top w:val="none" w:sz="0" w:space="0" w:color="auto"/>
        <w:left w:val="none" w:sz="0" w:space="0" w:color="auto"/>
        <w:bottom w:val="none" w:sz="0" w:space="0" w:color="auto"/>
        <w:right w:val="none" w:sz="0" w:space="0" w:color="auto"/>
      </w:divBdr>
    </w:div>
    <w:div w:id="1238445668">
      <w:bodyDiv w:val="1"/>
      <w:marLeft w:val="0"/>
      <w:marRight w:val="0"/>
      <w:marTop w:val="0"/>
      <w:marBottom w:val="0"/>
      <w:divBdr>
        <w:top w:val="none" w:sz="0" w:space="0" w:color="auto"/>
        <w:left w:val="none" w:sz="0" w:space="0" w:color="auto"/>
        <w:bottom w:val="none" w:sz="0" w:space="0" w:color="auto"/>
        <w:right w:val="none" w:sz="0" w:space="0" w:color="auto"/>
      </w:divBdr>
    </w:div>
    <w:div w:id="1242131986">
      <w:bodyDiv w:val="1"/>
      <w:marLeft w:val="0"/>
      <w:marRight w:val="0"/>
      <w:marTop w:val="0"/>
      <w:marBottom w:val="0"/>
      <w:divBdr>
        <w:top w:val="none" w:sz="0" w:space="0" w:color="auto"/>
        <w:left w:val="none" w:sz="0" w:space="0" w:color="auto"/>
        <w:bottom w:val="none" w:sz="0" w:space="0" w:color="auto"/>
        <w:right w:val="none" w:sz="0" w:space="0" w:color="auto"/>
      </w:divBdr>
    </w:div>
    <w:div w:id="1256479310">
      <w:bodyDiv w:val="1"/>
      <w:marLeft w:val="0"/>
      <w:marRight w:val="0"/>
      <w:marTop w:val="0"/>
      <w:marBottom w:val="0"/>
      <w:divBdr>
        <w:top w:val="none" w:sz="0" w:space="0" w:color="auto"/>
        <w:left w:val="none" w:sz="0" w:space="0" w:color="auto"/>
        <w:bottom w:val="none" w:sz="0" w:space="0" w:color="auto"/>
        <w:right w:val="none" w:sz="0" w:space="0" w:color="auto"/>
      </w:divBdr>
    </w:div>
    <w:div w:id="1259673201">
      <w:bodyDiv w:val="1"/>
      <w:marLeft w:val="0"/>
      <w:marRight w:val="0"/>
      <w:marTop w:val="0"/>
      <w:marBottom w:val="0"/>
      <w:divBdr>
        <w:top w:val="none" w:sz="0" w:space="0" w:color="auto"/>
        <w:left w:val="none" w:sz="0" w:space="0" w:color="auto"/>
        <w:bottom w:val="none" w:sz="0" w:space="0" w:color="auto"/>
        <w:right w:val="none" w:sz="0" w:space="0" w:color="auto"/>
      </w:divBdr>
    </w:div>
    <w:div w:id="1259866894">
      <w:bodyDiv w:val="1"/>
      <w:marLeft w:val="0"/>
      <w:marRight w:val="0"/>
      <w:marTop w:val="0"/>
      <w:marBottom w:val="0"/>
      <w:divBdr>
        <w:top w:val="none" w:sz="0" w:space="0" w:color="auto"/>
        <w:left w:val="none" w:sz="0" w:space="0" w:color="auto"/>
        <w:bottom w:val="none" w:sz="0" w:space="0" w:color="auto"/>
        <w:right w:val="none" w:sz="0" w:space="0" w:color="auto"/>
      </w:divBdr>
    </w:div>
    <w:div w:id="1298608601">
      <w:bodyDiv w:val="1"/>
      <w:marLeft w:val="0"/>
      <w:marRight w:val="0"/>
      <w:marTop w:val="0"/>
      <w:marBottom w:val="0"/>
      <w:divBdr>
        <w:top w:val="none" w:sz="0" w:space="0" w:color="auto"/>
        <w:left w:val="none" w:sz="0" w:space="0" w:color="auto"/>
        <w:bottom w:val="none" w:sz="0" w:space="0" w:color="auto"/>
        <w:right w:val="none" w:sz="0" w:space="0" w:color="auto"/>
      </w:divBdr>
    </w:div>
    <w:div w:id="1299410214">
      <w:bodyDiv w:val="1"/>
      <w:marLeft w:val="0"/>
      <w:marRight w:val="0"/>
      <w:marTop w:val="0"/>
      <w:marBottom w:val="0"/>
      <w:divBdr>
        <w:top w:val="none" w:sz="0" w:space="0" w:color="auto"/>
        <w:left w:val="none" w:sz="0" w:space="0" w:color="auto"/>
        <w:bottom w:val="none" w:sz="0" w:space="0" w:color="auto"/>
        <w:right w:val="none" w:sz="0" w:space="0" w:color="auto"/>
      </w:divBdr>
    </w:div>
    <w:div w:id="1350836872">
      <w:bodyDiv w:val="1"/>
      <w:marLeft w:val="0"/>
      <w:marRight w:val="0"/>
      <w:marTop w:val="0"/>
      <w:marBottom w:val="0"/>
      <w:divBdr>
        <w:top w:val="none" w:sz="0" w:space="0" w:color="auto"/>
        <w:left w:val="none" w:sz="0" w:space="0" w:color="auto"/>
        <w:bottom w:val="none" w:sz="0" w:space="0" w:color="auto"/>
        <w:right w:val="none" w:sz="0" w:space="0" w:color="auto"/>
      </w:divBdr>
    </w:div>
    <w:div w:id="1354498713">
      <w:bodyDiv w:val="1"/>
      <w:marLeft w:val="0"/>
      <w:marRight w:val="0"/>
      <w:marTop w:val="0"/>
      <w:marBottom w:val="0"/>
      <w:divBdr>
        <w:top w:val="none" w:sz="0" w:space="0" w:color="auto"/>
        <w:left w:val="none" w:sz="0" w:space="0" w:color="auto"/>
        <w:bottom w:val="none" w:sz="0" w:space="0" w:color="auto"/>
        <w:right w:val="none" w:sz="0" w:space="0" w:color="auto"/>
      </w:divBdr>
    </w:div>
    <w:div w:id="1361979863">
      <w:bodyDiv w:val="1"/>
      <w:marLeft w:val="0"/>
      <w:marRight w:val="0"/>
      <w:marTop w:val="0"/>
      <w:marBottom w:val="0"/>
      <w:divBdr>
        <w:top w:val="none" w:sz="0" w:space="0" w:color="auto"/>
        <w:left w:val="none" w:sz="0" w:space="0" w:color="auto"/>
        <w:bottom w:val="none" w:sz="0" w:space="0" w:color="auto"/>
        <w:right w:val="none" w:sz="0" w:space="0" w:color="auto"/>
      </w:divBdr>
    </w:div>
    <w:div w:id="1367095770">
      <w:bodyDiv w:val="1"/>
      <w:marLeft w:val="0"/>
      <w:marRight w:val="0"/>
      <w:marTop w:val="0"/>
      <w:marBottom w:val="0"/>
      <w:divBdr>
        <w:top w:val="none" w:sz="0" w:space="0" w:color="auto"/>
        <w:left w:val="none" w:sz="0" w:space="0" w:color="auto"/>
        <w:bottom w:val="none" w:sz="0" w:space="0" w:color="auto"/>
        <w:right w:val="none" w:sz="0" w:space="0" w:color="auto"/>
      </w:divBdr>
    </w:div>
    <w:div w:id="1378123324">
      <w:bodyDiv w:val="1"/>
      <w:marLeft w:val="0"/>
      <w:marRight w:val="0"/>
      <w:marTop w:val="0"/>
      <w:marBottom w:val="0"/>
      <w:divBdr>
        <w:top w:val="none" w:sz="0" w:space="0" w:color="auto"/>
        <w:left w:val="none" w:sz="0" w:space="0" w:color="auto"/>
        <w:bottom w:val="none" w:sz="0" w:space="0" w:color="auto"/>
        <w:right w:val="none" w:sz="0" w:space="0" w:color="auto"/>
      </w:divBdr>
    </w:div>
    <w:div w:id="1385717019">
      <w:bodyDiv w:val="1"/>
      <w:marLeft w:val="0"/>
      <w:marRight w:val="0"/>
      <w:marTop w:val="0"/>
      <w:marBottom w:val="0"/>
      <w:divBdr>
        <w:top w:val="none" w:sz="0" w:space="0" w:color="auto"/>
        <w:left w:val="none" w:sz="0" w:space="0" w:color="auto"/>
        <w:bottom w:val="none" w:sz="0" w:space="0" w:color="auto"/>
        <w:right w:val="none" w:sz="0" w:space="0" w:color="auto"/>
      </w:divBdr>
    </w:div>
    <w:div w:id="1392581317">
      <w:bodyDiv w:val="1"/>
      <w:marLeft w:val="0"/>
      <w:marRight w:val="0"/>
      <w:marTop w:val="0"/>
      <w:marBottom w:val="0"/>
      <w:divBdr>
        <w:top w:val="none" w:sz="0" w:space="0" w:color="auto"/>
        <w:left w:val="none" w:sz="0" w:space="0" w:color="auto"/>
        <w:bottom w:val="none" w:sz="0" w:space="0" w:color="auto"/>
        <w:right w:val="none" w:sz="0" w:space="0" w:color="auto"/>
      </w:divBdr>
    </w:div>
    <w:div w:id="1421216068">
      <w:bodyDiv w:val="1"/>
      <w:marLeft w:val="0"/>
      <w:marRight w:val="0"/>
      <w:marTop w:val="0"/>
      <w:marBottom w:val="0"/>
      <w:divBdr>
        <w:top w:val="none" w:sz="0" w:space="0" w:color="auto"/>
        <w:left w:val="none" w:sz="0" w:space="0" w:color="auto"/>
        <w:bottom w:val="none" w:sz="0" w:space="0" w:color="auto"/>
        <w:right w:val="none" w:sz="0" w:space="0" w:color="auto"/>
      </w:divBdr>
    </w:div>
    <w:div w:id="1436822165">
      <w:bodyDiv w:val="1"/>
      <w:marLeft w:val="0"/>
      <w:marRight w:val="0"/>
      <w:marTop w:val="0"/>
      <w:marBottom w:val="0"/>
      <w:divBdr>
        <w:top w:val="none" w:sz="0" w:space="0" w:color="auto"/>
        <w:left w:val="none" w:sz="0" w:space="0" w:color="auto"/>
        <w:bottom w:val="none" w:sz="0" w:space="0" w:color="auto"/>
        <w:right w:val="none" w:sz="0" w:space="0" w:color="auto"/>
      </w:divBdr>
    </w:div>
    <w:div w:id="1444761099">
      <w:bodyDiv w:val="1"/>
      <w:marLeft w:val="0"/>
      <w:marRight w:val="0"/>
      <w:marTop w:val="0"/>
      <w:marBottom w:val="0"/>
      <w:divBdr>
        <w:top w:val="none" w:sz="0" w:space="0" w:color="auto"/>
        <w:left w:val="none" w:sz="0" w:space="0" w:color="auto"/>
        <w:bottom w:val="none" w:sz="0" w:space="0" w:color="auto"/>
        <w:right w:val="none" w:sz="0" w:space="0" w:color="auto"/>
      </w:divBdr>
    </w:div>
    <w:div w:id="1450660369">
      <w:bodyDiv w:val="1"/>
      <w:marLeft w:val="0"/>
      <w:marRight w:val="0"/>
      <w:marTop w:val="0"/>
      <w:marBottom w:val="0"/>
      <w:divBdr>
        <w:top w:val="none" w:sz="0" w:space="0" w:color="auto"/>
        <w:left w:val="none" w:sz="0" w:space="0" w:color="auto"/>
        <w:bottom w:val="none" w:sz="0" w:space="0" w:color="auto"/>
        <w:right w:val="none" w:sz="0" w:space="0" w:color="auto"/>
      </w:divBdr>
    </w:div>
    <w:div w:id="1456023234">
      <w:bodyDiv w:val="1"/>
      <w:marLeft w:val="0"/>
      <w:marRight w:val="0"/>
      <w:marTop w:val="0"/>
      <w:marBottom w:val="0"/>
      <w:divBdr>
        <w:top w:val="none" w:sz="0" w:space="0" w:color="auto"/>
        <w:left w:val="none" w:sz="0" w:space="0" w:color="auto"/>
        <w:bottom w:val="none" w:sz="0" w:space="0" w:color="auto"/>
        <w:right w:val="none" w:sz="0" w:space="0" w:color="auto"/>
      </w:divBdr>
    </w:div>
    <w:div w:id="1468012115">
      <w:bodyDiv w:val="1"/>
      <w:marLeft w:val="0"/>
      <w:marRight w:val="0"/>
      <w:marTop w:val="0"/>
      <w:marBottom w:val="0"/>
      <w:divBdr>
        <w:top w:val="none" w:sz="0" w:space="0" w:color="auto"/>
        <w:left w:val="none" w:sz="0" w:space="0" w:color="auto"/>
        <w:bottom w:val="none" w:sz="0" w:space="0" w:color="auto"/>
        <w:right w:val="none" w:sz="0" w:space="0" w:color="auto"/>
      </w:divBdr>
    </w:div>
    <w:div w:id="1475292049">
      <w:bodyDiv w:val="1"/>
      <w:marLeft w:val="0"/>
      <w:marRight w:val="0"/>
      <w:marTop w:val="0"/>
      <w:marBottom w:val="0"/>
      <w:divBdr>
        <w:top w:val="none" w:sz="0" w:space="0" w:color="auto"/>
        <w:left w:val="none" w:sz="0" w:space="0" w:color="auto"/>
        <w:bottom w:val="none" w:sz="0" w:space="0" w:color="auto"/>
        <w:right w:val="none" w:sz="0" w:space="0" w:color="auto"/>
      </w:divBdr>
    </w:div>
    <w:div w:id="1500538430">
      <w:bodyDiv w:val="1"/>
      <w:marLeft w:val="0"/>
      <w:marRight w:val="0"/>
      <w:marTop w:val="0"/>
      <w:marBottom w:val="0"/>
      <w:divBdr>
        <w:top w:val="none" w:sz="0" w:space="0" w:color="auto"/>
        <w:left w:val="none" w:sz="0" w:space="0" w:color="auto"/>
        <w:bottom w:val="none" w:sz="0" w:space="0" w:color="auto"/>
        <w:right w:val="none" w:sz="0" w:space="0" w:color="auto"/>
      </w:divBdr>
    </w:div>
    <w:div w:id="1503277816">
      <w:bodyDiv w:val="1"/>
      <w:marLeft w:val="0"/>
      <w:marRight w:val="0"/>
      <w:marTop w:val="0"/>
      <w:marBottom w:val="0"/>
      <w:divBdr>
        <w:top w:val="none" w:sz="0" w:space="0" w:color="auto"/>
        <w:left w:val="none" w:sz="0" w:space="0" w:color="auto"/>
        <w:bottom w:val="none" w:sz="0" w:space="0" w:color="auto"/>
        <w:right w:val="none" w:sz="0" w:space="0" w:color="auto"/>
      </w:divBdr>
    </w:div>
    <w:div w:id="1516453907">
      <w:bodyDiv w:val="1"/>
      <w:marLeft w:val="0"/>
      <w:marRight w:val="0"/>
      <w:marTop w:val="0"/>
      <w:marBottom w:val="0"/>
      <w:divBdr>
        <w:top w:val="none" w:sz="0" w:space="0" w:color="auto"/>
        <w:left w:val="none" w:sz="0" w:space="0" w:color="auto"/>
        <w:bottom w:val="none" w:sz="0" w:space="0" w:color="auto"/>
        <w:right w:val="none" w:sz="0" w:space="0" w:color="auto"/>
      </w:divBdr>
    </w:div>
    <w:div w:id="1526288073">
      <w:bodyDiv w:val="1"/>
      <w:marLeft w:val="0"/>
      <w:marRight w:val="0"/>
      <w:marTop w:val="0"/>
      <w:marBottom w:val="0"/>
      <w:divBdr>
        <w:top w:val="none" w:sz="0" w:space="0" w:color="auto"/>
        <w:left w:val="none" w:sz="0" w:space="0" w:color="auto"/>
        <w:bottom w:val="none" w:sz="0" w:space="0" w:color="auto"/>
        <w:right w:val="none" w:sz="0" w:space="0" w:color="auto"/>
      </w:divBdr>
    </w:div>
    <w:div w:id="1543790694">
      <w:bodyDiv w:val="1"/>
      <w:marLeft w:val="0"/>
      <w:marRight w:val="0"/>
      <w:marTop w:val="0"/>
      <w:marBottom w:val="0"/>
      <w:divBdr>
        <w:top w:val="none" w:sz="0" w:space="0" w:color="auto"/>
        <w:left w:val="none" w:sz="0" w:space="0" w:color="auto"/>
        <w:bottom w:val="none" w:sz="0" w:space="0" w:color="auto"/>
        <w:right w:val="none" w:sz="0" w:space="0" w:color="auto"/>
      </w:divBdr>
    </w:div>
    <w:div w:id="1591699077">
      <w:bodyDiv w:val="1"/>
      <w:marLeft w:val="0"/>
      <w:marRight w:val="0"/>
      <w:marTop w:val="0"/>
      <w:marBottom w:val="0"/>
      <w:divBdr>
        <w:top w:val="none" w:sz="0" w:space="0" w:color="auto"/>
        <w:left w:val="none" w:sz="0" w:space="0" w:color="auto"/>
        <w:bottom w:val="none" w:sz="0" w:space="0" w:color="auto"/>
        <w:right w:val="none" w:sz="0" w:space="0" w:color="auto"/>
      </w:divBdr>
    </w:div>
    <w:div w:id="1593508376">
      <w:bodyDiv w:val="1"/>
      <w:marLeft w:val="0"/>
      <w:marRight w:val="0"/>
      <w:marTop w:val="0"/>
      <w:marBottom w:val="0"/>
      <w:divBdr>
        <w:top w:val="none" w:sz="0" w:space="0" w:color="auto"/>
        <w:left w:val="none" w:sz="0" w:space="0" w:color="auto"/>
        <w:bottom w:val="none" w:sz="0" w:space="0" w:color="auto"/>
        <w:right w:val="none" w:sz="0" w:space="0" w:color="auto"/>
      </w:divBdr>
    </w:div>
    <w:div w:id="1623146738">
      <w:bodyDiv w:val="1"/>
      <w:marLeft w:val="0"/>
      <w:marRight w:val="0"/>
      <w:marTop w:val="0"/>
      <w:marBottom w:val="0"/>
      <w:divBdr>
        <w:top w:val="none" w:sz="0" w:space="0" w:color="auto"/>
        <w:left w:val="none" w:sz="0" w:space="0" w:color="auto"/>
        <w:bottom w:val="none" w:sz="0" w:space="0" w:color="auto"/>
        <w:right w:val="none" w:sz="0" w:space="0" w:color="auto"/>
      </w:divBdr>
    </w:div>
    <w:div w:id="1626155629">
      <w:bodyDiv w:val="1"/>
      <w:marLeft w:val="0"/>
      <w:marRight w:val="0"/>
      <w:marTop w:val="0"/>
      <w:marBottom w:val="0"/>
      <w:divBdr>
        <w:top w:val="none" w:sz="0" w:space="0" w:color="auto"/>
        <w:left w:val="none" w:sz="0" w:space="0" w:color="auto"/>
        <w:bottom w:val="none" w:sz="0" w:space="0" w:color="auto"/>
        <w:right w:val="none" w:sz="0" w:space="0" w:color="auto"/>
      </w:divBdr>
    </w:div>
    <w:div w:id="1628046515">
      <w:bodyDiv w:val="1"/>
      <w:marLeft w:val="0"/>
      <w:marRight w:val="0"/>
      <w:marTop w:val="0"/>
      <w:marBottom w:val="0"/>
      <w:divBdr>
        <w:top w:val="none" w:sz="0" w:space="0" w:color="auto"/>
        <w:left w:val="none" w:sz="0" w:space="0" w:color="auto"/>
        <w:bottom w:val="none" w:sz="0" w:space="0" w:color="auto"/>
        <w:right w:val="none" w:sz="0" w:space="0" w:color="auto"/>
      </w:divBdr>
    </w:div>
    <w:div w:id="1643777811">
      <w:bodyDiv w:val="1"/>
      <w:marLeft w:val="0"/>
      <w:marRight w:val="0"/>
      <w:marTop w:val="0"/>
      <w:marBottom w:val="0"/>
      <w:divBdr>
        <w:top w:val="none" w:sz="0" w:space="0" w:color="auto"/>
        <w:left w:val="none" w:sz="0" w:space="0" w:color="auto"/>
        <w:bottom w:val="none" w:sz="0" w:space="0" w:color="auto"/>
        <w:right w:val="none" w:sz="0" w:space="0" w:color="auto"/>
      </w:divBdr>
    </w:div>
    <w:div w:id="1669092493">
      <w:bodyDiv w:val="1"/>
      <w:marLeft w:val="0"/>
      <w:marRight w:val="0"/>
      <w:marTop w:val="0"/>
      <w:marBottom w:val="0"/>
      <w:divBdr>
        <w:top w:val="none" w:sz="0" w:space="0" w:color="auto"/>
        <w:left w:val="none" w:sz="0" w:space="0" w:color="auto"/>
        <w:bottom w:val="none" w:sz="0" w:space="0" w:color="auto"/>
        <w:right w:val="none" w:sz="0" w:space="0" w:color="auto"/>
      </w:divBdr>
    </w:div>
    <w:div w:id="1671056031">
      <w:bodyDiv w:val="1"/>
      <w:marLeft w:val="0"/>
      <w:marRight w:val="0"/>
      <w:marTop w:val="0"/>
      <w:marBottom w:val="0"/>
      <w:divBdr>
        <w:top w:val="none" w:sz="0" w:space="0" w:color="auto"/>
        <w:left w:val="none" w:sz="0" w:space="0" w:color="auto"/>
        <w:bottom w:val="none" w:sz="0" w:space="0" w:color="auto"/>
        <w:right w:val="none" w:sz="0" w:space="0" w:color="auto"/>
      </w:divBdr>
    </w:div>
    <w:div w:id="1684503878">
      <w:bodyDiv w:val="1"/>
      <w:marLeft w:val="0"/>
      <w:marRight w:val="0"/>
      <w:marTop w:val="0"/>
      <w:marBottom w:val="0"/>
      <w:divBdr>
        <w:top w:val="none" w:sz="0" w:space="0" w:color="auto"/>
        <w:left w:val="none" w:sz="0" w:space="0" w:color="auto"/>
        <w:bottom w:val="none" w:sz="0" w:space="0" w:color="auto"/>
        <w:right w:val="none" w:sz="0" w:space="0" w:color="auto"/>
      </w:divBdr>
    </w:div>
    <w:div w:id="1685402262">
      <w:bodyDiv w:val="1"/>
      <w:marLeft w:val="0"/>
      <w:marRight w:val="0"/>
      <w:marTop w:val="0"/>
      <w:marBottom w:val="0"/>
      <w:divBdr>
        <w:top w:val="none" w:sz="0" w:space="0" w:color="auto"/>
        <w:left w:val="none" w:sz="0" w:space="0" w:color="auto"/>
        <w:bottom w:val="none" w:sz="0" w:space="0" w:color="auto"/>
        <w:right w:val="none" w:sz="0" w:space="0" w:color="auto"/>
      </w:divBdr>
    </w:div>
    <w:div w:id="1688561118">
      <w:bodyDiv w:val="1"/>
      <w:marLeft w:val="0"/>
      <w:marRight w:val="0"/>
      <w:marTop w:val="0"/>
      <w:marBottom w:val="0"/>
      <w:divBdr>
        <w:top w:val="none" w:sz="0" w:space="0" w:color="auto"/>
        <w:left w:val="none" w:sz="0" w:space="0" w:color="auto"/>
        <w:bottom w:val="none" w:sz="0" w:space="0" w:color="auto"/>
        <w:right w:val="none" w:sz="0" w:space="0" w:color="auto"/>
      </w:divBdr>
    </w:div>
    <w:div w:id="1693264030">
      <w:bodyDiv w:val="1"/>
      <w:marLeft w:val="0"/>
      <w:marRight w:val="0"/>
      <w:marTop w:val="0"/>
      <w:marBottom w:val="0"/>
      <w:divBdr>
        <w:top w:val="none" w:sz="0" w:space="0" w:color="auto"/>
        <w:left w:val="none" w:sz="0" w:space="0" w:color="auto"/>
        <w:bottom w:val="none" w:sz="0" w:space="0" w:color="auto"/>
        <w:right w:val="none" w:sz="0" w:space="0" w:color="auto"/>
      </w:divBdr>
    </w:div>
    <w:div w:id="1694115948">
      <w:bodyDiv w:val="1"/>
      <w:marLeft w:val="0"/>
      <w:marRight w:val="0"/>
      <w:marTop w:val="0"/>
      <w:marBottom w:val="0"/>
      <w:divBdr>
        <w:top w:val="none" w:sz="0" w:space="0" w:color="auto"/>
        <w:left w:val="none" w:sz="0" w:space="0" w:color="auto"/>
        <w:bottom w:val="none" w:sz="0" w:space="0" w:color="auto"/>
        <w:right w:val="none" w:sz="0" w:space="0" w:color="auto"/>
      </w:divBdr>
    </w:div>
    <w:div w:id="1695884048">
      <w:bodyDiv w:val="1"/>
      <w:marLeft w:val="0"/>
      <w:marRight w:val="0"/>
      <w:marTop w:val="0"/>
      <w:marBottom w:val="0"/>
      <w:divBdr>
        <w:top w:val="none" w:sz="0" w:space="0" w:color="auto"/>
        <w:left w:val="none" w:sz="0" w:space="0" w:color="auto"/>
        <w:bottom w:val="none" w:sz="0" w:space="0" w:color="auto"/>
        <w:right w:val="none" w:sz="0" w:space="0" w:color="auto"/>
      </w:divBdr>
    </w:div>
    <w:div w:id="1706638223">
      <w:bodyDiv w:val="1"/>
      <w:marLeft w:val="0"/>
      <w:marRight w:val="0"/>
      <w:marTop w:val="0"/>
      <w:marBottom w:val="0"/>
      <w:divBdr>
        <w:top w:val="none" w:sz="0" w:space="0" w:color="auto"/>
        <w:left w:val="none" w:sz="0" w:space="0" w:color="auto"/>
        <w:bottom w:val="none" w:sz="0" w:space="0" w:color="auto"/>
        <w:right w:val="none" w:sz="0" w:space="0" w:color="auto"/>
      </w:divBdr>
    </w:div>
    <w:div w:id="1718893789">
      <w:bodyDiv w:val="1"/>
      <w:marLeft w:val="0"/>
      <w:marRight w:val="0"/>
      <w:marTop w:val="0"/>
      <w:marBottom w:val="0"/>
      <w:divBdr>
        <w:top w:val="none" w:sz="0" w:space="0" w:color="auto"/>
        <w:left w:val="none" w:sz="0" w:space="0" w:color="auto"/>
        <w:bottom w:val="none" w:sz="0" w:space="0" w:color="auto"/>
        <w:right w:val="none" w:sz="0" w:space="0" w:color="auto"/>
      </w:divBdr>
    </w:div>
    <w:div w:id="1719738617">
      <w:bodyDiv w:val="1"/>
      <w:marLeft w:val="0"/>
      <w:marRight w:val="0"/>
      <w:marTop w:val="0"/>
      <w:marBottom w:val="0"/>
      <w:divBdr>
        <w:top w:val="none" w:sz="0" w:space="0" w:color="auto"/>
        <w:left w:val="none" w:sz="0" w:space="0" w:color="auto"/>
        <w:bottom w:val="none" w:sz="0" w:space="0" w:color="auto"/>
        <w:right w:val="none" w:sz="0" w:space="0" w:color="auto"/>
      </w:divBdr>
    </w:div>
    <w:div w:id="1721593334">
      <w:bodyDiv w:val="1"/>
      <w:marLeft w:val="0"/>
      <w:marRight w:val="0"/>
      <w:marTop w:val="0"/>
      <w:marBottom w:val="0"/>
      <w:divBdr>
        <w:top w:val="none" w:sz="0" w:space="0" w:color="auto"/>
        <w:left w:val="none" w:sz="0" w:space="0" w:color="auto"/>
        <w:bottom w:val="none" w:sz="0" w:space="0" w:color="auto"/>
        <w:right w:val="none" w:sz="0" w:space="0" w:color="auto"/>
      </w:divBdr>
    </w:div>
    <w:div w:id="1721635273">
      <w:bodyDiv w:val="1"/>
      <w:marLeft w:val="0"/>
      <w:marRight w:val="0"/>
      <w:marTop w:val="0"/>
      <w:marBottom w:val="0"/>
      <w:divBdr>
        <w:top w:val="none" w:sz="0" w:space="0" w:color="auto"/>
        <w:left w:val="none" w:sz="0" w:space="0" w:color="auto"/>
        <w:bottom w:val="none" w:sz="0" w:space="0" w:color="auto"/>
        <w:right w:val="none" w:sz="0" w:space="0" w:color="auto"/>
      </w:divBdr>
    </w:div>
    <w:div w:id="1729840552">
      <w:bodyDiv w:val="1"/>
      <w:marLeft w:val="0"/>
      <w:marRight w:val="0"/>
      <w:marTop w:val="0"/>
      <w:marBottom w:val="0"/>
      <w:divBdr>
        <w:top w:val="none" w:sz="0" w:space="0" w:color="auto"/>
        <w:left w:val="none" w:sz="0" w:space="0" w:color="auto"/>
        <w:bottom w:val="none" w:sz="0" w:space="0" w:color="auto"/>
        <w:right w:val="none" w:sz="0" w:space="0" w:color="auto"/>
      </w:divBdr>
    </w:div>
    <w:div w:id="1732388909">
      <w:bodyDiv w:val="1"/>
      <w:marLeft w:val="0"/>
      <w:marRight w:val="0"/>
      <w:marTop w:val="0"/>
      <w:marBottom w:val="0"/>
      <w:divBdr>
        <w:top w:val="none" w:sz="0" w:space="0" w:color="auto"/>
        <w:left w:val="none" w:sz="0" w:space="0" w:color="auto"/>
        <w:bottom w:val="none" w:sz="0" w:space="0" w:color="auto"/>
        <w:right w:val="none" w:sz="0" w:space="0" w:color="auto"/>
      </w:divBdr>
    </w:div>
    <w:div w:id="1733121031">
      <w:bodyDiv w:val="1"/>
      <w:marLeft w:val="0"/>
      <w:marRight w:val="0"/>
      <w:marTop w:val="0"/>
      <w:marBottom w:val="0"/>
      <w:divBdr>
        <w:top w:val="none" w:sz="0" w:space="0" w:color="auto"/>
        <w:left w:val="none" w:sz="0" w:space="0" w:color="auto"/>
        <w:bottom w:val="none" w:sz="0" w:space="0" w:color="auto"/>
        <w:right w:val="none" w:sz="0" w:space="0" w:color="auto"/>
      </w:divBdr>
    </w:div>
    <w:div w:id="1737702536">
      <w:bodyDiv w:val="1"/>
      <w:marLeft w:val="0"/>
      <w:marRight w:val="0"/>
      <w:marTop w:val="0"/>
      <w:marBottom w:val="0"/>
      <w:divBdr>
        <w:top w:val="none" w:sz="0" w:space="0" w:color="auto"/>
        <w:left w:val="none" w:sz="0" w:space="0" w:color="auto"/>
        <w:bottom w:val="none" w:sz="0" w:space="0" w:color="auto"/>
        <w:right w:val="none" w:sz="0" w:space="0" w:color="auto"/>
      </w:divBdr>
    </w:div>
    <w:div w:id="1754277108">
      <w:bodyDiv w:val="1"/>
      <w:marLeft w:val="0"/>
      <w:marRight w:val="0"/>
      <w:marTop w:val="0"/>
      <w:marBottom w:val="0"/>
      <w:divBdr>
        <w:top w:val="none" w:sz="0" w:space="0" w:color="auto"/>
        <w:left w:val="none" w:sz="0" w:space="0" w:color="auto"/>
        <w:bottom w:val="none" w:sz="0" w:space="0" w:color="auto"/>
        <w:right w:val="none" w:sz="0" w:space="0" w:color="auto"/>
      </w:divBdr>
    </w:div>
    <w:div w:id="1771732133">
      <w:bodyDiv w:val="1"/>
      <w:marLeft w:val="0"/>
      <w:marRight w:val="0"/>
      <w:marTop w:val="0"/>
      <w:marBottom w:val="0"/>
      <w:divBdr>
        <w:top w:val="none" w:sz="0" w:space="0" w:color="auto"/>
        <w:left w:val="none" w:sz="0" w:space="0" w:color="auto"/>
        <w:bottom w:val="none" w:sz="0" w:space="0" w:color="auto"/>
        <w:right w:val="none" w:sz="0" w:space="0" w:color="auto"/>
      </w:divBdr>
    </w:div>
    <w:div w:id="1783188614">
      <w:bodyDiv w:val="1"/>
      <w:marLeft w:val="0"/>
      <w:marRight w:val="0"/>
      <w:marTop w:val="0"/>
      <w:marBottom w:val="0"/>
      <w:divBdr>
        <w:top w:val="none" w:sz="0" w:space="0" w:color="auto"/>
        <w:left w:val="none" w:sz="0" w:space="0" w:color="auto"/>
        <w:bottom w:val="none" w:sz="0" w:space="0" w:color="auto"/>
        <w:right w:val="none" w:sz="0" w:space="0" w:color="auto"/>
      </w:divBdr>
    </w:div>
    <w:div w:id="1791391840">
      <w:bodyDiv w:val="1"/>
      <w:marLeft w:val="0"/>
      <w:marRight w:val="0"/>
      <w:marTop w:val="0"/>
      <w:marBottom w:val="0"/>
      <w:divBdr>
        <w:top w:val="none" w:sz="0" w:space="0" w:color="auto"/>
        <w:left w:val="none" w:sz="0" w:space="0" w:color="auto"/>
        <w:bottom w:val="none" w:sz="0" w:space="0" w:color="auto"/>
        <w:right w:val="none" w:sz="0" w:space="0" w:color="auto"/>
      </w:divBdr>
    </w:div>
    <w:div w:id="1794401774">
      <w:bodyDiv w:val="1"/>
      <w:marLeft w:val="0"/>
      <w:marRight w:val="0"/>
      <w:marTop w:val="0"/>
      <w:marBottom w:val="0"/>
      <w:divBdr>
        <w:top w:val="none" w:sz="0" w:space="0" w:color="auto"/>
        <w:left w:val="none" w:sz="0" w:space="0" w:color="auto"/>
        <w:bottom w:val="none" w:sz="0" w:space="0" w:color="auto"/>
        <w:right w:val="none" w:sz="0" w:space="0" w:color="auto"/>
      </w:divBdr>
    </w:div>
    <w:div w:id="1803419771">
      <w:bodyDiv w:val="1"/>
      <w:marLeft w:val="0"/>
      <w:marRight w:val="0"/>
      <w:marTop w:val="0"/>
      <w:marBottom w:val="0"/>
      <w:divBdr>
        <w:top w:val="none" w:sz="0" w:space="0" w:color="auto"/>
        <w:left w:val="none" w:sz="0" w:space="0" w:color="auto"/>
        <w:bottom w:val="none" w:sz="0" w:space="0" w:color="auto"/>
        <w:right w:val="none" w:sz="0" w:space="0" w:color="auto"/>
      </w:divBdr>
    </w:div>
    <w:div w:id="1806393458">
      <w:bodyDiv w:val="1"/>
      <w:marLeft w:val="0"/>
      <w:marRight w:val="0"/>
      <w:marTop w:val="0"/>
      <w:marBottom w:val="0"/>
      <w:divBdr>
        <w:top w:val="none" w:sz="0" w:space="0" w:color="auto"/>
        <w:left w:val="none" w:sz="0" w:space="0" w:color="auto"/>
        <w:bottom w:val="none" w:sz="0" w:space="0" w:color="auto"/>
        <w:right w:val="none" w:sz="0" w:space="0" w:color="auto"/>
      </w:divBdr>
    </w:div>
    <w:div w:id="1815173926">
      <w:bodyDiv w:val="1"/>
      <w:marLeft w:val="0"/>
      <w:marRight w:val="0"/>
      <w:marTop w:val="0"/>
      <w:marBottom w:val="0"/>
      <w:divBdr>
        <w:top w:val="none" w:sz="0" w:space="0" w:color="auto"/>
        <w:left w:val="none" w:sz="0" w:space="0" w:color="auto"/>
        <w:bottom w:val="none" w:sz="0" w:space="0" w:color="auto"/>
        <w:right w:val="none" w:sz="0" w:space="0" w:color="auto"/>
      </w:divBdr>
    </w:div>
    <w:div w:id="1819761982">
      <w:bodyDiv w:val="1"/>
      <w:marLeft w:val="0"/>
      <w:marRight w:val="0"/>
      <w:marTop w:val="0"/>
      <w:marBottom w:val="0"/>
      <w:divBdr>
        <w:top w:val="none" w:sz="0" w:space="0" w:color="auto"/>
        <w:left w:val="none" w:sz="0" w:space="0" w:color="auto"/>
        <w:bottom w:val="none" w:sz="0" w:space="0" w:color="auto"/>
        <w:right w:val="none" w:sz="0" w:space="0" w:color="auto"/>
      </w:divBdr>
    </w:div>
    <w:div w:id="1823764843">
      <w:bodyDiv w:val="1"/>
      <w:marLeft w:val="0"/>
      <w:marRight w:val="0"/>
      <w:marTop w:val="0"/>
      <w:marBottom w:val="0"/>
      <w:divBdr>
        <w:top w:val="none" w:sz="0" w:space="0" w:color="auto"/>
        <w:left w:val="none" w:sz="0" w:space="0" w:color="auto"/>
        <w:bottom w:val="none" w:sz="0" w:space="0" w:color="auto"/>
        <w:right w:val="none" w:sz="0" w:space="0" w:color="auto"/>
      </w:divBdr>
    </w:div>
    <w:div w:id="1833569030">
      <w:bodyDiv w:val="1"/>
      <w:marLeft w:val="0"/>
      <w:marRight w:val="0"/>
      <w:marTop w:val="0"/>
      <w:marBottom w:val="0"/>
      <w:divBdr>
        <w:top w:val="none" w:sz="0" w:space="0" w:color="auto"/>
        <w:left w:val="none" w:sz="0" w:space="0" w:color="auto"/>
        <w:bottom w:val="none" w:sz="0" w:space="0" w:color="auto"/>
        <w:right w:val="none" w:sz="0" w:space="0" w:color="auto"/>
      </w:divBdr>
    </w:div>
    <w:div w:id="1836989271">
      <w:bodyDiv w:val="1"/>
      <w:marLeft w:val="0"/>
      <w:marRight w:val="0"/>
      <w:marTop w:val="0"/>
      <w:marBottom w:val="0"/>
      <w:divBdr>
        <w:top w:val="none" w:sz="0" w:space="0" w:color="auto"/>
        <w:left w:val="none" w:sz="0" w:space="0" w:color="auto"/>
        <w:bottom w:val="none" w:sz="0" w:space="0" w:color="auto"/>
        <w:right w:val="none" w:sz="0" w:space="0" w:color="auto"/>
      </w:divBdr>
    </w:div>
    <w:div w:id="1863321030">
      <w:bodyDiv w:val="1"/>
      <w:marLeft w:val="0"/>
      <w:marRight w:val="0"/>
      <w:marTop w:val="0"/>
      <w:marBottom w:val="0"/>
      <w:divBdr>
        <w:top w:val="none" w:sz="0" w:space="0" w:color="auto"/>
        <w:left w:val="none" w:sz="0" w:space="0" w:color="auto"/>
        <w:bottom w:val="none" w:sz="0" w:space="0" w:color="auto"/>
        <w:right w:val="none" w:sz="0" w:space="0" w:color="auto"/>
      </w:divBdr>
    </w:div>
    <w:div w:id="1913537335">
      <w:bodyDiv w:val="1"/>
      <w:marLeft w:val="0"/>
      <w:marRight w:val="0"/>
      <w:marTop w:val="0"/>
      <w:marBottom w:val="0"/>
      <w:divBdr>
        <w:top w:val="none" w:sz="0" w:space="0" w:color="auto"/>
        <w:left w:val="none" w:sz="0" w:space="0" w:color="auto"/>
        <w:bottom w:val="none" w:sz="0" w:space="0" w:color="auto"/>
        <w:right w:val="none" w:sz="0" w:space="0" w:color="auto"/>
      </w:divBdr>
    </w:div>
    <w:div w:id="1915626896">
      <w:bodyDiv w:val="1"/>
      <w:marLeft w:val="0"/>
      <w:marRight w:val="0"/>
      <w:marTop w:val="0"/>
      <w:marBottom w:val="0"/>
      <w:divBdr>
        <w:top w:val="none" w:sz="0" w:space="0" w:color="auto"/>
        <w:left w:val="none" w:sz="0" w:space="0" w:color="auto"/>
        <w:bottom w:val="none" w:sz="0" w:space="0" w:color="auto"/>
        <w:right w:val="none" w:sz="0" w:space="0" w:color="auto"/>
      </w:divBdr>
    </w:div>
    <w:div w:id="1917980449">
      <w:bodyDiv w:val="1"/>
      <w:marLeft w:val="0"/>
      <w:marRight w:val="0"/>
      <w:marTop w:val="0"/>
      <w:marBottom w:val="0"/>
      <w:divBdr>
        <w:top w:val="none" w:sz="0" w:space="0" w:color="auto"/>
        <w:left w:val="none" w:sz="0" w:space="0" w:color="auto"/>
        <w:bottom w:val="none" w:sz="0" w:space="0" w:color="auto"/>
        <w:right w:val="none" w:sz="0" w:space="0" w:color="auto"/>
      </w:divBdr>
    </w:div>
    <w:div w:id="1931229415">
      <w:bodyDiv w:val="1"/>
      <w:marLeft w:val="0"/>
      <w:marRight w:val="0"/>
      <w:marTop w:val="0"/>
      <w:marBottom w:val="0"/>
      <w:divBdr>
        <w:top w:val="none" w:sz="0" w:space="0" w:color="auto"/>
        <w:left w:val="none" w:sz="0" w:space="0" w:color="auto"/>
        <w:bottom w:val="none" w:sz="0" w:space="0" w:color="auto"/>
        <w:right w:val="none" w:sz="0" w:space="0" w:color="auto"/>
      </w:divBdr>
    </w:div>
    <w:div w:id="1935629334">
      <w:bodyDiv w:val="1"/>
      <w:marLeft w:val="0"/>
      <w:marRight w:val="0"/>
      <w:marTop w:val="0"/>
      <w:marBottom w:val="0"/>
      <w:divBdr>
        <w:top w:val="none" w:sz="0" w:space="0" w:color="auto"/>
        <w:left w:val="none" w:sz="0" w:space="0" w:color="auto"/>
        <w:bottom w:val="none" w:sz="0" w:space="0" w:color="auto"/>
        <w:right w:val="none" w:sz="0" w:space="0" w:color="auto"/>
      </w:divBdr>
    </w:div>
    <w:div w:id="1974632211">
      <w:bodyDiv w:val="1"/>
      <w:marLeft w:val="0"/>
      <w:marRight w:val="0"/>
      <w:marTop w:val="0"/>
      <w:marBottom w:val="0"/>
      <w:divBdr>
        <w:top w:val="none" w:sz="0" w:space="0" w:color="auto"/>
        <w:left w:val="none" w:sz="0" w:space="0" w:color="auto"/>
        <w:bottom w:val="none" w:sz="0" w:space="0" w:color="auto"/>
        <w:right w:val="none" w:sz="0" w:space="0" w:color="auto"/>
      </w:divBdr>
    </w:div>
    <w:div w:id="1977905088">
      <w:bodyDiv w:val="1"/>
      <w:marLeft w:val="0"/>
      <w:marRight w:val="0"/>
      <w:marTop w:val="0"/>
      <w:marBottom w:val="0"/>
      <w:divBdr>
        <w:top w:val="none" w:sz="0" w:space="0" w:color="auto"/>
        <w:left w:val="none" w:sz="0" w:space="0" w:color="auto"/>
        <w:bottom w:val="none" w:sz="0" w:space="0" w:color="auto"/>
        <w:right w:val="none" w:sz="0" w:space="0" w:color="auto"/>
      </w:divBdr>
    </w:div>
    <w:div w:id="1979528179">
      <w:bodyDiv w:val="1"/>
      <w:marLeft w:val="0"/>
      <w:marRight w:val="0"/>
      <w:marTop w:val="0"/>
      <w:marBottom w:val="0"/>
      <w:divBdr>
        <w:top w:val="none" w:sz="0" w:space="0" w:color="auto"/>
        <w:left w:val="none" w:sz="0" w:space="0" w:color="auto"/>
        <w:bottom w:val="none" w:sz="0" w:space="0" w:color="auto"/>
        <w:right w:val="none" w:sz="0" w:space="0" w:color="auto"/>
      </w:divBdr>
    </w:div>
    <w:div w:id="1985348064">
      <w:bodyDiv w:val="1"/>
      <w:marLeft w:val="0"/>
      <w:marRight w:val="0"/>
      <w:marTop w:val="0"/>
      <w:marBottom w:val="0"/>
      <w:divBdr>
        <w:top w:val="none" w:sz="0" w:space="0" w:color="auto"/>
        <w:left w:val="none" w:sz="0" w:space="0" w:color="auto"/>
        <w:bottom w:val="none" w:sz="0" w:space="0" w:color="auto"/>
        <w:right w:val="none" w:sz="0" w:space="0" w:color="auto"/>
      </w:divBdr>
    </w:div>
    <w:div w:id="1987778525">
      <w:bodyDiv w:val="1"/>
      <w:marLeft w:val="0"/>
      <w:marRight w:val="0"/>
      <w:marTop w:val="0"/>
      <w:marBottom w:val="0"/>
      <w:divBdr>
        <w:top w:val="none" w:sz="0" w:space="0" w:color="auto"/>
        <w:left w:val="none" w:sz="0" w:space="0" w:color="auto"/>
        <w:bottom w:val="none" w:sz="0" w:space="0" w:color="auto"/>
        <w:right w:val="none" w:sz="0" w:space="0" w:color="auto"/>
      </w:divBdr>
    </w:div>
    <w:div w:id="1993174971">
      <w:bodyDiv w:val="1"/>
      <w:marLeft w:val="0"/>
      <w:marRight w:val="0"/>
      <w:marTop w:val="0"/>
      <w:marBottom w:val="0"/>
      <w:divBdr>
        <w:top w:val="none" w:sz="0" w:space="0" w:color="auto"/>
        <w:left w:val="none" w:sz="0" w:space="0" w:color="auto"/>
        <w:bottom w:val="none" w:sz="0" w:space="0" w:color="auto"/>
        <w:right w:val="none" w:sz="0" w:space="0" w:color="auto"/>
      </w:divBdr>
    </w:div>
    <w:div w:id="2000235048">
      <w:bodyDiv w:val="1"/>
      <w:marLeft w:val="0"/>
      <w:marRight w:val="0"/>
      <w:marTop w:val="0"/>
      <w:marBottom w:val="0"/>
      <w:divBdr>
        <w:top w:val="none" w:sz="0" w:space="0" w:color="auto"/>
        <w:left w:val="none" w:sz="0" w:space="0" w:color="auto"/>
        <w:bottom w:val="none" w:sz="0" w:space="0" w:color="auto"/>
        <w:right w:val="none" w:sz="0" w:space="0" w:color="auto"/>
      </w:divBdr>
    </w:div>
    <w:div w:id="2021002769">
      <w:bodyDiv w:val="1"/>
      <w:marLeft w:val="0"/>
      <w:marRight w:val="0"/>
      <w:marTop w:val="0"/>
      <w:marBottom w:val="0"/>
      <w:divBdr>
        <w:top w:val="none" w:sz="0" w:space="0" w:color="auto"/>
        <w:left w:val="none" w:sz="0" w:space="0" w:color="auto"/>
        <w:bottom w:val="none" w:sz="0" w:space="0" w:color="auto"/>
        <w:right w:val="none" w:sz="0" w:space="0" w:color="auto"/>
      </w:divBdr>
    </w:div>
    <w:div w:id="2021811199">
      <w:bodyDiv w:val="1"/>
      <w:marLeft w:val="0"/>
      <w:marRight w:val="0"/>
      <w:marTop w:val="0"/>
      <w:marBottom w:val="0"/>
      <w:divBdr>
        <w:top w:val="none" w:sz="0" w:space="0" w:color="auto"/>
        <w:left w:val="none" w:sz="0" w:space="0" w:color="auto"/>
        <w:bottom w:val="none" w:sz="0" w:space="0" w:color="auto"/>
        <w:right w:val="none" w:sz="0" w:space="0" w:color="auto"/>
      </w:divBdr>
    </w:div>
    <w:div w:id="2038655117">
      <w:bodyDiv w:val="1"/>
      <w:marLeft w:val="0"/>
      <w:marRight w:val="0"/>
      <w:marTop w:val="0"/>
      <w:marBottom w:val="0"/>
      <w:divBdr>
        <w:top w:val="none" w:sz="0" w:space="0" w:color="auto"/>
        <w:left w:val="none" w:sz="0" w:space="0" w:color="auto"/>
        <w:bottom w:val="none" w:sz="0" w:space="0" w:color="auto"/>
        <w:right w:val="none" w:sz="0" w:space="0" w:color="auto"/>
      </w:divBdr>
    </w:div>
    <w:div w:id="2040204380">
      <w:bodyDiv w:val="1"/>
      <w:marLeft w:val="0"/>
      <w:marRight w:val="0"/>
      <w:marTop w:val="0"/>
      <w:marBottom w:val="0"/>
      <w:divBdr>
        <w:top w:val="none" w:sz="0" w:space="0" w:color="auto"/>
        <w:left w:val="none" w:sz="0" w:space="0" w:color="auto"/>
        <w:bottom w:val="none" w:sz="0" w:space="0" w:color="auto"/>
        <w:right w:val="none" w:sz="0" w:space="0" w:color="auto"/>
      </w:divBdr>
    </w:div>
    <w:div w:id="2055885401">
      <w:bodyDiv w:val="1"/>
      <w:marLeft w:val="0"/>
      <w:marRight w:val="0"/>
      <w:marTop w:val="0"/>
      <w:marBottom w:val="0"/>
      <w:divBdr>
        <w:top w:val="none" w:sz="0" w:space="0" w:color="auto"/>
        <w:left w:val="none" w:sz="0" w:space="0" w:color="auto"/>
        <w:bottom w:val="none" w:sz="0" w:space="0" w:color="auto"/>
        <w:right w:val="none" w:sz="0" w:space="0" w:color="auto"/>
      </w:divBdr>
    </w:div>
    <w:div w:id="2069299835">
      <w:bodyDiv w:val="1"/>
      <w:marLeft w:val="0"/>
      <w:marRight w:val="0"/>
      <w:marTop w:val="0"/>
      <w:marBottom w:val="0"/>
      <w:divBdr>
        <w:top w:val="none" w:sz="0" w:space="0" w:color="auto"/>
        <w:left w:val="none" w:sz="0" w:space="0" w:color="auto"/>
        <w:bottom w:val="none" w:sz="0" w:space="0" w:color="auto"/>
        <w:right w:val="none" w:sz="0" w:space="0" w:color="auto"/>
      </w:divBdr>
    </w:div>
    <w:div w:id="2087871585">
      <w:bodyDiv w:val="1"/>
      <w:marLeft w:val="0"/>
      <w:marRight w:val="0"/>
      <w:marTop w:val="0"/>
      <w:marBottom w:val="0"/>
      <w:divBdr>
        <w:top w:val="none" w:sz="0" w:space="0" w:color="auto"/>
        <w:left w:val="none" w:sz="0" w:space="0" w:color="auto"/>
        <w:bottom w:val="none" w:sz="0" w:space="0" w:color="auto"/>
        <w:right w:val="none" w:sz="0" w:space="0" w:color="auto"/>
      </w:divBdr>
    </w:div>
    <w:div w:id="2109277044">
      <w:bodyDiv w:val="1"/>
      <w:marLeft w:val="0"/>
      <w:marRight w:val="0"/>
      <w:marTop w:val="0"/>
      <w:marBottom w:val="0"/>
      <w:divBdr>
        <w:top w:val="none" w:sz="0" w:space="0" w:color="auto"/>
        <w:left w:val="none" w:sz="0" w:space="0" w:color="auto"/>
        <w:bottom w:val="none" w:sz="0" w:space="0" w:color="auto"/>
        <w:right w:val="none" w:sz="0" w:space="0" w:color="auto"/>
      </w:divBdr>
    </w:div>
    <w:div w:id="2123331940">
      <w:bodyDiv w:val="1"/>
      <w:marLeft w:val="0"/>
      <w:marRight w:val="0"/>
      <w:marTop w:val="0"/>
      <w:marBottom w:val="0"/>
      <w:divBdr>
        <w:top w:val="none" w:sz="0" w:space="0" w:color="auto"/>
        <w:left w:val="none" w:sz="0" w:space="0" w:color="auto"/>
        <w:bottom w:val="none" w:sz="0" w:space="0" w:color="auto"/>
        <w:right w:val="none" w:sz="0" w:space="0" w:color="auto"/>
      </w:divBdr>
    </w:div>
    <w:div w:id="2124108039">
      <w:bodyDiv w:val="1"/>
      <w:marLeft w:val="0"/>
      <w:marRight w:val="0"/>
      <w:marTop w:val="0"/>
      <w:marBottom w:val="0"/>
      <w:divBdr>
        <w:top w:val="none" w:sz="0" w:space="0" w:color="auto"/>
        <w:left w:val="none" w:sz="0" w:space="0" w:color="auto"/>
        <w:bottom w:val="none" w:sz="0" w:space="0" w:color="auto"/>
        <w:right w:val="none" w:sz="0" w:space="0" w:color="auto"/>
      </w:divBdr>
    </w:div>
    <w:div w:id="2125883381">
      <w:bodyDiv w:val="1"/>
      <w:marLeft w:val="0"/>
      <w:marRight w:val="0"/>
      <w:marTop w:val="0"/>
      <w:marBottom w:val="0"/>
      <w:divBdr>
        <w:top w:val="none" w:sz="0" w:space="0" w:color="auto"/>
        <w:left w:val="none" w:sz="0" w:space="0" w:color="auto"/>
        <w:bottom w:val="none" w:sz="0" w:space="0" w:color="auto"/>
        <w:right w:val="none" w:sz="0" w:space="0" w:color="auto"/>
      </w:divBdr>
    </w:div>
    <w:div w:id="2134706741">
      <w:bodyDiv w:val="1"/>
      <w:marLeft w:val="0"/>
      <w:marRight w:val="0"/>
      <w:marTop w:val="0"/>
      <w:marBottom w:val="0"/>
      <w:divBdr>
        <w:top w:val="none" w:sz="0" w:space="0" w:color="auto"/>
        <w:left w:val="none" w:sz="0" w:space="0" w:color="auto"/>
        <w:bottom w:val="none" w:sz="0" w:space="0" w:color="auto"/>
        <w:right w:val="none" w:sz="0" w:space="0" w:color="auto"/>
      </w:divBdr>
    </w:div>
    <w:div w:id="21473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morgansmith@cabq.gov"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westar.org/regional-haz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slyn.higgin@env.nm.gov" TargetMode="Externa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hyperlink" Target="mailto:gladesowards@utah.gov" TargetMode="External"/><Relationship Id="rId19" Type="http://schemas.openxmlformats.org/officeDocument/2006/relationships/chart" Target="charts/chart1.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yperlink" Target="mailto:nathan.mcnamara@wyo.gov"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3.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https://westernstatesairresourc-my.sharepoint.com/personal/jbaker_westar_org/Documents/Regional%20Haze/SO2_Milestone_Reports/2023/Draft_SO2Milestone_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a:pPr>
            <a:r>
              <a:rPr lang="en-US" sz="1000" b="1"/>
              <a:t>SO2 Milestones and Emission Trends</a:t>
            </a:r>
          </a:p>
          <a:p>
            <a:pPr>
              <a:defRPr sz="1000" b="1"/>
            </a:pPr>
            <a:r>
              <a:rPr lang="en-US" sz="1000" b="1"/>
              <a:t>New Mexico, Utah, Wyoming, Albuquerque-Bernalillo</a:t>
            </a:r>
          </a:p>
        </c:rich>
      </c:tx>
      <c:layout>
        <c:manualLayout>
          <c:xMode val="edge"/>
          <c:yMode val="edge"/>
          <c:x val="0.16933007072032663"/>
          <c:y val="4.8627890123600019E-2"/>
        </c:manualLayout>
      </c:layout>
      <c:overlay val="0"/>
    </c:title>
    <c:autoTitleDeleted val="0"/>
    <c:plotArea>
      <c:layout>
        <c:manualLayout>
          <c:layoutTarget val="inner"/>
          <c:xMode val="edge"/>
          <c:yMode val="edge"/>
          <c:x val="0.19527965830839411"/>
          <c:y val="0.21614639528681767"/>
          <c:w val="0.74433741898767514"/>
          <c:h val="0.58524500580925154"/>
        </c:manualLayout>
      </c:layout>
      <c:scatterChart>
        <c:scatterStyle val="lineMarker"/>
        <c:varyColors val="0"/>
        <c:ser>
          <c:idx val="0"/>
          <c:order val="0"/>
          <c:tx>
            <c:strRef>
              <c:f>Summary!$C$3</c:f>
              <c:strCache>
                <c:ptCount val="1"/>
                <c:pt idx="0">
                  <c:v>Three Year Average</c:v>
                </c:pt>
              </c:strCache>
            </c:strRef>
          </c:tx>
          <c:spPr>
            <a:ln w="28575">
              <a:solidFill>
                <a:srgbClr val="FF6600"/>
              </a:solidFill>
            </a:ln>
          </c:spPr>
          <c:marker>
            <c:symbol val="circle"/>
            <c:size val="5"/>
            <c:spPr>
              <a:solidFill>
                <a:srgbClr val="FFCC00"/>
              </a:solidFill>
              <a:ln w="19050">
                <a:solidFill>
                  <a:srgbClr val="FF6600"/>
                </a:solidFill>
              </a:ln>
            </c:spPr>
          </c:marker>
          <c:xVal>
            <c:numRef>
              <c:f>Summary!$A$4:$A$24</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xVal>
          <c:yVal>
            <c:numRef>
              <c:f>Summary!$C$4:$C$24</c:f>
              <c:numCache>
                <c:formatCode>_(* #,##0_);_(* \(#,##0\);_(* "-"??_);_(@_)</c:formatCode>
                <c:ptCount val="21"/>
                <c:pt idx="0">
                  <c:v>214780</c:v>
                </c:pt>
                <c:pt idx="1">
                  <c:v>223584</c:v>
                </c:pt>
                <c:pt idx="2">
                  <c:v>220987</c:v>
                </c:pt>
                <c:pt idx="3">
                  <c:v>218499</c:v>
                </c:pt>
                <c:pt idx="4">
                  <c:v>203569.33333333334</c:v>
                </c:pt>
                <c:pt idx="5">
                  <c:v>186836.66666666666</c:v>
                </c:pt>
                <c:pt idx="6">
                  <c:v>165632.76999999999</c:v>
                </c:pt>
                <c:pt idx="7">
                  <c:v>146807.73666666666</c:v>
                </c:pt>
                <c:pt idx="8">
                  <c:v>131074.40333333332</c:v>
                </c:pt>
                <c:pt idx="9">
                  <c:v>115316.3</c:v>
                </c:pt>
                <c:pt idx="10">
                  <c:v>105005.98333333332</c:v>
                </c:pt>
                <c:pt idx="11">
                  <c:v>96302.316666666651</c:v>
                </c:pt>
                <c:pt idx="12">
                  <c:v>91310.316666666651</c:v>
                </c:pt>
                <c:pt idx="13">
                  <c:v>84969.333333333328</c:v>
                </c:pt>
                <c:pt idx="14">
                  <c:v>79709.333333333328</c:v>
                </c:pt>
                <c:pt idx="15">
                  <c:v>71994</c:v>
                </c:pt>
                <c:pt idx="16">
                  <c:v>65001</c:v>
                </c:pt>
                <c:pt idx="17">
                  <c:v>59155</c:v>
                </c:pt>
                <c:pt idx="18">
                  <c:v>60011</c:v>
                </c:pt>
                <c:pt idx="19">
                  <c:v>59363.982490000009</c:v>
                </c:pt>
                <c:pt idx="20">
                  <c:v>50766.946549999993</c:v>
                </c:pt>
              </c:numCache>
            </c:numRef>
          </c:yVal>
          <c:smooth val="0"/>
          <c:extLst>
            <c:ext xmlns:c16="http://schemas.microsoft.com/office/drawing/2014/chart" uri="{C3380CC4-5D6E-409C-BE32-E72D297353CC}">
              <c16:uniqueId val="{00000000-F3F9-4514-97B9-663000E5B168}"/>
            </c:ext>
          </c:extLst>
        </c:ser>
        <c:ser>
          <c:idx val="1"/>
          <c:order val="1"/>
          <c:tx>
            <c:strRef>
              <c:f>Summary!$D$3</c:f>
              <c:strCache>
                <c:ptCount val="1"/>
                <c:pt idx="0">
                  <c:v>Milestone</c:v>
                </c:pt>
              </c:strCache>
            </c:strRef>
          </c:tx>
          <c:spPr>
            <a:ln w="28575">
              <a:solidFill>
                <a:schemeClr val="accent1"/>
              </a:solidFill>
            </a:ln>
          </c:spPr>
          <c:marker>
            <c:symbol val="diamond"/>
            <c:size val="5"/>
            <c:spPr>
              <a:solidFill>
                <a:schemeClr val="accent3"/>
              </a:solidFill>
              <a:ln w="19050">
                <a:solidFill>
                  <a:schemeClr val="tx2"/>
                </a:solidFill>
              </a:ln>
            </c:spPr>
          </c:marker>
          <c:dPt>
            <c:idx val="16"/>
            <c:marker>
              <c:symbol val="none"/>
            </c:marker>
            <c:bubble3D val="0"/>
            <c:extLst>
              <c:ext xmlns:c16="http://schemas.microsoft.com/office/drawing/2014/chart" uri="{C3380CC4-5D6E-409C-BE32-E72D297353CC}">
                <c16:uniqueId val="{00000001-F3F9-4514-97B9-663000E5B168}"/>
              </c:ext>
            </c:extLst>
          </c:dPt>
          <c:dPt>
            <c:idx val="17"/>
            <c:marker>
              <c:symbol val="none"/>
            </c:marker>
            <c:bubble3D val="0"/>
            <c:extLst>
              <c:ext xmlns:c16="http://schemas.microsoft.com/office/drawing/2014/chart" uri="{C3380CC4-5D6E-409C-BE32-E72D297353CC}">
                <c16:uniqueId val="{00000002-F3F9-4514-97B9-663000E5B168}"/>
              </c:ext>
            </c:extLst>
          </c:dPt>
          <c:dPt>
            <c:idx val="18"/>
            <c:marker>
              <c:symbol val="none"/>
            </c:marker>
            <c:bubble3D val="0"/>
            <c:extLst>
              <c:ext xmlns:c16="http://schemas.microsoft.com/office/drawing/2014/chart" uri="{C3380CC4-5D6E-409C-BE32-E72D297353CC}">
                <c16:uniqueId val="{00000003-F3F9-4514-97B9-663000E5B168}"/>
              </c:ext>
            </c:extLst>
          </c:dPt>
          <c:dPt>
            <c:idx val="19"/>
            <c:marker>
              <c:spPr>
                <a:noFill/>
                <a:ln w="19050">
                  <a:noFill/>
                </a:ln>
              </c:spPr>
            </c:marker>
            <c:bubble3D val="0"/>
            <c:extLst>
              <c:ext xmlns:c16="http://schemas.microsoft.com/office/drawing/2014/chart" uri="{C3380CC4-5D6E-409C-BE32-E72D297353CC}">
                <c16:uniqueId val="{00000004-F3F9-4514-97B9-663000E5B168}"/>
              </c:ext>
            </c:extLst>
          </c:dPt>
          <c:dPt>
            <c:idx val="20"/>
            <c:marker>
              <c:symbol val="none"/>
            </c:marker>
            <c:bubble3D val="0"/>
            <c:extLst>
              <c:ext xmlns:c16="http://schemas.microsoft.com/office/drawing/2014/chart" uri="{C3380CC4-5D6E-409C-BE32-E72D297353CC}">
                <c16:uniqueId val="{00000005-F3F9-4514-97B9-663000E5B168}"/>
              </c:ext>
            </c:extLst>
          </c:dPt>
          <c:xVal>
            <c:numRef>
              <c:f>Summary!$A$4:$A$24</c:f>
              <c:numCache>
                <c:formatCode>General</c:formatCode>
                <c:ptCount val="21"/>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2019</c:v>
                </c:pt>
                <c:pt idx="17">
                  <c:v>2020</c:v>
                </c:pt>
                <c:pt idx="18">
                  <c:v>2021</c:v>
                </c:pt>
                <c:pt idx="19">
                  <c:v>2022</c:v>
                </c:pt>
                <c:pt idx="20">
                  <c:v>2023</c:v>
                </c:pt>
              </c:numCache>
            </c:numRef>
          </c:xVal>
          <c:yVal>
            <c:numRef>
              <c:f>Summary!$D$4:$D$24</c:f>
              <c:numCache>
                <c:formatCode>_(* #,##0_);_(* \(#,##0\);_(* "-"??_);_(@_)</c:formatCode>
                <c:ptCount val="21"/>
                <c:pt idx="0">
                  <c:v>303264</c:v>
                </c:pt>
                <c:pt idx="1">
                  <c:v>303264</c:v>
                </c:pt>
                <c:pt idx="2">
                  <c:v>303264</c:v>
                </c:pt>
                <c:pt idx="3">
                  <c:v>303264</c:v>
                </c:pt>
                <c:pt idx="4">
                  <c:v>303264</c:v>
                </c:pt>
                <c:pt idx="5">
                  <c:v>269083</c:v>
                </c:pt>
                <c:pt idx="6">
                  <c:v>234902</c:v>
                </c:pt>
                <c:pt idx="7">
                  <c:v>200722</c:v>
                </c:pt>
                <c:pt idx="8">
                  <c:v>200722</c:v>
                </c:pt>
                <c:pt idx="9">
                  <c:v>200722</c:v>
                </c:pt>
                <c:pt idx="10">
                  <c:v>185795</c:v>
                </c:pt>
                <c:pt idx="11">
                  <c:v>170867</c:v>
                </c:pt>
                <c:pt idx="12">
                  <c:v>155940</c:v>
                </c:pt>
                <c:pt idx="13">
                  <c:v>155940</c:v>
                </c:pt>
                <c:pt idx="14">
                  <c:v>155940</c:v>
                </c:pt>
                <c:pt idx="15">
                  <c:v>141848</c:v>
                </c:pt>
                <c:pt idx="16">
                  <c:v>141848</c:v>
                </c:pt>
                <c:pt idx="17">
                  <c:v>141848</c:v>
                </c:pt>
                <c:pt idx="18">
                  <c:v>141848</c:v>
                </c:pt>
                <c:pt idx="19">
                  <c:v>141848</c:v>
                </c:pt>
                <c:pt idx="20">
                  <c:v>141848</c:v>
                </c:pt>
              </c:numCache>
            </c:numRef>
          </c:yVal>
          <c:smooth val="0"/>
          <c:extLst>
            <c:ext xmlns:c16="http://schemas.microsoft.com/office/drawing/2014/chart" uri="{C3380CC4-5D6E-409C-BE32-E72D297353CC}">
              <c16:uniqueId val="{00000006-F3F9-4514-97B9-663000E5B168}"/>
            </c:ext>
          </c:extLst>
        </c:ser>
        <c:dLbls>
          <c:showLegendKey val="0"/>
          <c:showVal val="0"/>
          <c:showCatName val="0"/>
          <c:showSerName val="0"/>
          <c:showPercent val="0"/>
          <c:showBubbleSize val="0"/>
        </c:dLbls>
        <c:axId val="95326976"/>
        <c:axId val="95328896"/>
      </c:scatterChart>
      <c:valAx>
        <c:axId val="95326976"/>
        <c:scaling>
          <c:orientation val="minMax"/>
          <c:max val="2023"/>
        </c:scaling>
        <c:delete val="0"/>
        <c:axPos val="b"/>
        <c:numFmt formatCode="General" sourceLinked="1"/>
        <c:majorTickMark val="out"/>
        <c:minorTickMark val="none"/>
        <c:tickLblPos val="nextTo"/>
        <c:txPr>
          <a:bodyPr rot="-5400000" vert="horz"/>
          <a:lstStyle/>
          <a:p>
            <a:pPr>
              <a:defRPr sz="900"/>
            </a:pPr>
            <a:endParaRPr lang="en-US"/>
          </a:p>
        </c:txPr>
        <c:crossAx val="95328896"/>
        <c:crosses val="autoZero"/>
        <c:crossBetween val="midCat"/>
        <c:majorUnit val="2"/>
      </c:valAx>
      <c:valAx>
        <c:axId val="95328896"/>
        <c:scaling>
          <c:orientation val="minMax"/>
        </c:scaling>
        <c:delete val="0"/>
        <c:axPos val="l"/>
        <c:majorGridlines/>
        <c:title>
          <c:tx>
            <c:rich>
              <a:bodyPr/>
              <a:lstStyle/>
              <a:p>
                <a:pPr>
                  <a:defRPr b="1"/>
                </a:pPr>
                <a:r>
                  <a:rPr lang="en-US" b="1"/>
                  <a:t>tons/yr SO2</a:t>
                </a:r>
              </a:p>
            </c:rich>
          </c:tx>
          <c:layout>
            <c:manualLayout>
              <c:xMode val="edge"/>
              <c:yMode val="edge"/>
              <c:x val="1.992967240292997E-2"/>
              <c:y val="0.38333560322896865"/>
            </c:manualLayout>
          </c:layout>
          <c:overlay val="0"/>
        </c:title>
        <c:numFmt formatCode="_(* #,##0_);_(* \(#,##0\);_(* &quot;-&quot;??_);_(@_)" sourceLinked="1"/>
        <c:majorTickMark val="out"/>
        <c:minorTickMark val="none"/>
        <c:tickLblPos val="nextTo"/>
        <c:txPr>
          <a:bodyPr rot="0" vert="horz"/>
          <a:lstStyle/>
          <a:p>
            <a:pPr>
              <a:defRPr sz="900"/>
            </a:pPr>
            <a:endParaRPr lang="en-US"/>
          </a:p>
        </c:txPr>
        <c:crossAx val="95326976"/>
        <c:crosses val="autoZero"/>
        <c:crossBetween val="midCat"/>
      </c:valAx>
    </c:plotArea>
    <c:legend>
      <c:legendPos val="b"/>
      <c:layout>
        <c:manualLayout>
          <c:xMode val="edge"/>
          <c:yMode val="edge"/>
          <c:x val="0.16457168582082579"/>
          <c:y val="0.9206971128608924"/>
          <c:w val="0.69674659599588895"/>
          <c:h val="5.9302887139107613E-2"/>
        </c:manualLayout>
      </c:layout>
      <c:overlay val="0"/>
      <c:txPr>
        <a:bodyPr/>
        <a:lstStyle/>
        <a:p>
          <a:pPr>
            <a:defRPr sz="900"/>
          </a:pPr>
          <a:endParaRPr lang="en-US"/>
        </a:p>
      </c:txPr>
    </c:legend>
    <c:plotVisOnly val="1"/>
    <c:dispBlanksAs val="gap"/>
    <c:showDLblsOverMax val="0"/>
  </c:chart>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WESTAR">
  <a:themeElements>
    <a:clrScheme name="WESTAR">
      <a:dk1>
        <a:sysClr val="windowText" lastClr="000000"/>
      </a:dk1>
      <a:lt1>
        <a:srgbClr val="FFFFFF"/>
      </a:lt1>
      <a:dk2>
        <a:srgbClr val="3D69B2"/>
      </a:dk2>
      <a:lt2>
        <a:srgbClr val="B7E4F5"/>
      </a:lt2>
      <a:accent1>
        <a:srgbClr val="255EAB"/>
      </a:accent1>
      <a:accent2>
        <a:srgbClr val="58ACDA"/>
      </a:accent2>
      <a:accent3>
        <a:srgbClr val="50BCE7"/>
      </a:accent3>
      <a:accent4>
        <a:srgbClr val="6C829C"/>
      </a:accent4>
      <a:accent5>
        <a:srgbClr val="CFD9DD"/>
      </a:accent5>
      <a:accent6>
        <a:srgbClr val="7E7086"/>
      </a:accent6>
      <a:hlink>
        <a:srgbClr val="7F7900"/>
      </a:hlink>
      <a:folHlink>
        <a:srgbClr val="D7CC00"/>
      </a:folHlink>
    </a:clrScheme>
    <a:fontScheme name="WESTAR">
      <a:majorFont>
        <a:latin typeface="Avenir Next LT Pro"/>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ESTAR" id="{60A86BC1-5006-4512-B41B-B359DE08C044}" vid="{0E062E48-364A-4C58-9C7A-99ECAC5431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41FC5-6CEE-43A1-8A21-FBE7FEE4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6268</Words>
  <Characters>35734</Characters>
  <Application>Microsoft Office Word</Application>
  <DocSecurity>0</DocSecurity>
  <Lines>297</Lines>
  <Paragraphs>83</Paragraphs>
  <ScaleCrop>false</ScaleCrop>
  <Company>Perrin Quarles Associates</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WRAP Milestone Report 2008</dc:title>
  <dc:subject>Final WRAP Milestone Report 2008</dc:subject>
  <dc:creator>jbaker@utah.gov</dc:creator>
  <cp:keywords>WRAP,Milestone,2008,RegionalHazeRule,Section309</cp:keywords>
  <cp:lastModifiedBy>Jay Baker</cp:lastModifiedBy>
  <cp:revision>2</cp:revision>
  <cp:lastPrinted>2020-12-31T20:47:00Z</cp:lastPrinted>
  <dcterms:created xsi:type="dcterms:W3CDTF">2025-04-08T03:59:00Z</dcterms:created>
  <dcterms:modified xsi:type="dcterms:W3CDTF">2025-04-08T03:59:00Z</dcterms:modified>
</cp:coreProperties>
</file>