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B1D84" w14:textId="2601BC82" w:rsidR="001A7CA0" w:rsidRDefault="001A7CA0" w:rsidP="009D2708">
      <w:pPr>
        <w:jc w:val="center"/>
        <w:rPr>
          <w:b/>
        </w:rPr>
      </w:pPr>
    </w:p>
    <w:p w14:paraId="4D7800B2" w14:textId="77777777" w:rsidR="009D2708" w:rsidRPr="009D2708" w:rsidRDefault="009D2708" w:rsidP="009D2708">
      <w:pPr>
        <w:jc w:val="center"/>
        <w:rPr>
          <w:b/>
        </w:rPr>
      </w:pPr>
      <w:r w:rsidRPr="009D2708">
        <w:rPr>
          <w:b/>
        </w:rPr>
        <w:t>PUBLIC NOTICE</w:t>
      </w:r>
    </w:p>
    <w:p w14:paraId="0FBF7BB7" w14:textId="77777777" w:rsidR="009D2708" w:rsidRPr="009D2708" w:rsidRDefault="009D2708" w:rsidP="009D2708">
      <w:pPr>
        <w:jc w:val="center"/>
        <w:rPr>
          <w:b/>
        </w:rPr>
      </w:pPr>
      <w:r w:rsidRPr="009D2708">
        <w:rPr>
          <w:b/>
        </w:rPr>
        <w:t>Air Quality Construction Permit For</w:t>
      </w:r>
    </w:p>
    <w:p w14:paraId="7125D4E7" w14:textId="65D85A24" w:rsidR="009D2708" w:rsidRDefault="00C44BED" w:rsidP="00C44BED">
      <w:pPr>
        <w:jc w:val="center"/>
        <w:rPr>
          <w:b/>
        </w:rPr>
      </w:pPr>
      <w:r>
        <w:rPr>
          <w:b/>
        </w:rPr>
        <w:t xml:space="preserve">GCC Rio Grande, Inc. </w:t>
      </w:r>
    </w:p>
    <w:p w14:paraId="37CFA92E" w14:textId="77777777" w:rsidR="00C44BED" w:rsidRDefault="00C44BED" w:rsidP="00C44BED">
      <w:pPr>
        <w:jc w:val="center"/>
      </w:pPr>
    </w:p>
    <w:p w14:paraId="536586EC" w14:textId="79B3ADF7" w:rsidR="009D2708" w:rsidRDefault="00C44BED" w:rsidP="00FA4065">
      <w:pPr>
        <w:jc w:val="both"/>
      </w:pPr>
      <w:r w:rsidRPr="00C44BED">
        <w:t>GCC Rio Grande, Inc.</w:t>
      </w:r>
      <w:r>
        <w:rPr>
          <w:b/>
        </w:rPr>
        <w:t xml:space="preserve"> </w:t>
      </w:r>
      <w:proofErr w:type="gramStart"/>
      <w:r w:rsidR="009D2708">
        <w:t>submitted an application</w:t>
      </w:r>
      <w:proofErr w:type="gramEnd"/>
      <w:r w:rsidR="009D2708">
        <w:t xml:space="preserve"> for a</w:t>
      </w:r>
      <w:r w:rsidR="00387195">
        <w:t xml:space="preserve">n </w:t>
      </w:r>
      <w:r w:rsidR="009D2708" w:rsidRPr="00251B1B">
        <w:t>air quality construction permit</w:t>
      </w:r>
      <w:r w:rsidR="00970647">
        <w:t xml:space="preserve"> modification</w:t>
      </w:r>
      <w:r w:rsidR="009D2708" w:rsidRPr="00251B1B">
        <w:t xml:space="preserve"> </w:t>
      </w:r>
      <w:r w:rsidR="009D2708">
        <w:t xml:space="preserve">to the Air Quality Program (Program) of the City of Albuquerque Environmental Health Department. The </w:t>
      </w:r>
      <w:r w:rsidR="00D84B5C">
        <w:t>Program received the application on</w:t>
      </w:r>
      <w:r w:rsidR="00251B1B">
        <w:t xml:space="preserve"> </w:t>
      </w:r>
      <w:r w:rsidR="000164A7">
        <w:t>July 12</w:t>
      </w:r>
      <w:r w:rsidR="00251B1B">
        <w:t>, 2023</w:t>
      </w:r>
      <w:r w:rsidR="000164A7">
        <w:t xml:space="preserve"> and additional information received on September 5, 2023</w:t>
      </w:r>
      <w:r w:rsidR="009D2708">
        <w:t>. The owner</w:t>
      </w:r>
      <w:r w:rsidR="00D16367">
        <w:t xml:space="preserve"> and operator</w:t>
      </w:r>
      <w:r w:rsidR="009D2708">
        <w:t xml:space="preserve"> of the </w:t>
      </w:r>
      <w:r w:rsidR="00460CEF">
        <w:t>F</w:t>
      </w:r>
      <w:r w:rsidR="009D2708">
        <w:t>acility is</w:t>
      </w:r>
      <w:r w:rsidR="00251B1B">
        <w:t xml:space="preserve"> </w:t>
      </w:r>
      <w:r>
        <w:t>GCC Rio Grande, Inc</w:t>
      </w:r>
      <w:r w:rsidR="009D2708">
        <w:t xml:space="preserve">. The </w:t>
      </w:r>
      <w:r w:rsidR="00D16367">
        <w:t>F</w:t>
      </w:r>
      <w:r w:rsidR="009D2708">
        <w:t>acility,</w:t>
      </w:r>
      <w:r>
        <w:t xml:space="preserve"> is </w:t>
      </w:r>
      <w:r w:rsidR="005F65FC">
        <w:t xml:space="preserve">Tijeras Portland Cement Manufacturing </w:t>
      </w:r>
      <w:r>
        <w:t xml:space="preserve">Facility </w:t>
      </w:r>
      <w:r w:rsidR="009D2708">
        <w:t>located a</w:t>
      </w:r>
      <w:r w:rsidR="00A35846">
        <w:t xml:space="preserve">t, </w:t>
      </w:r>
      <w:r w:rsidR="005F65FC">
        <w:t>11783 State Highway 337 South in Tijeras</w:t>
      </w:r>
      <w:r w:rsidR="00A35846">
        <w:t>, NM</w:t>
      </w:r>
      <w:r w:rsidR="005F65FC">
        <w:t xml:space="preserve"> 87059</w:t>
      </w:r>
      <w:r w:rsidR="009D2708">
        <w:t xml:space="preserve">. This application file has been assigned Permit Application No. </w:t>
      </w:r>
      <w:r w:rsidR="000164A7">
        <w:t>2197-M2</w:t>
      </w:r>
      <w:r w:rsidR="009D2708">
        <w:t>.  The Program has made an affirmative administrative completeness determination and is providing this notice pursuant to 20.11.41.14 NMAC.</w:t>
      </w:r>
    </w:p>
    <w:p w14:paraId="78F5DFE0" w14:textId="77777777" w:rsidR="009D2708" w:rsidRDefault="009D2708" w:rsidP="00FA4065">
      <w:pPr>
        <w:jc w:val="both"/>
      </w:pPr>
    </w:p>
    <w:p w14:paraId="0B9A93E8" w14:textId="7EB916F1" w:rsidR="009D2708" w:rsidRPr="009D2708" w:rsidRDefault="009D2708" w:rsidP="00FA4065">
      <w:pPr>
        <w:jc w:val="both"/>
        <w:rPr>
          <w:i/>
        </w:rPr>
      </w:pPr>
      <w:r>
        <w:t xml:space="preserve">The applicant is requesting </w:t>
      </w:r>
      <w:r w:rsidRPr="00DF5E54">
        <w:t xml:space="preserve">a </w:t>
      </w:r>
      <w:r w:rsidR="000164A7">
        <w:t xml:space="preserve">modification to </w:t>
      </w:r>
      <w:r w:rsidR="00880EB1">
        <w:t>the</w:t>
      </w:r>
      <w:r w:rsidR="000164A7">
        <w:t xml:space="preserve"> </w:t>
      </w:r>
      <w:r w:rsidRPr="00DF5E54">
        <w:t>construction permit</w:t>
      </w:r>
      <w:r w:rsidR="00970647">
        <w:t xml:space="preserve">, 2197-M1, </w:t>
      </w:r>
      <w:r w:rsidRPr="00DF5E54">
        <w:t xml:space="preserve">to </w:t>
      </w:r>
      <w:r w:rsidR="0011148C">
        <w:t xml:space="preserve">authorize </w:t>
      </w:r>
      <w:r w:rsidR="000164A7">
        <w:t>an</w:t>
      </w:r>
      <w:r w:rsidR="0011148C">
        <w:t xml:space="preserve"> </w:t>
      </w:r>
      <w:r w:rsidR="000164A7">
        <w:t>increase in pounds per hour (</w:t>
      </w:r>
      <w:proofErr w:type="spellStart"/>
      <w:r w:rsidR="000164A7">
        <w:t>lbs</w:t>
      </w:r>
      <w:proofErr w:type="spellEnd"/>
      <w:r w:rsidR="000164A7">
        <w:t>/</w:t>
      </w:r>
      <w:proofErr w:type="spellStart"/>
      <w:r w:rsidR="000164A7">
        <w:t>hr</w:t>
      </w:r>
      <w:proofErr w:type="spellEnd"/>
      <w:r w:rsidR="000164A7">
        <w:t>) emission rates from the kilns’ combustion due to operation fluctuations</w:t>
      </w:r>
      <w:r w:rsidR="0042144D">
        <w:t xml:space="preserve"> which may occur during hours</w:t>
      </w:r>
      <w:r w:rsidR="00C80BA2">
        <w:t xml:space="preserve"> of operation</w:t>
      </w:r>
      <w:r w:rsidR="0042144D">
        <w:t>. T</w:t>
      </w:r>
      <w:r w:rsidR="00880EB1">
        <w:t xml:space="preserve">he proposed </w:t>
      </w:r>
      <w:proofErr w:type="spellStart"/>
      <w:r w:rsidR="00880EB1">
        <w:t>lb</w:t>
      </w:r>
      <w:r w:rsidR="0042144D">
        <w:t>s</w:t>
      </w:r>
      <w:proofErr w:type="spellEnd"/>
      <w:r w:rsidR="00880EB1">
        <w:t>/</w:t>
      </w:r>
      <w:proofErr w:type="spellStart"/>
      <w:r w:rsidR="00880EB1">
        <w:t>hr</w:t>
      </w:r>
      <w:proofErr w:type="spellEnd"/>
      <w:r w:rsidR="00880EB1">
        <w:t xml:space="preserve"> emission rates </w:t>
      </w:r>
      <w:r w:rsidR="00F90F7E">
        <w:t xml:space="preserve">were </w:t>
      </w:r>
      <w:r w:rsidR="00880EB1">
        <w:t xml:space="preserve">included in the air dispersion modeling for the entire GCC facility </w:t>
      </w:r>
      <w:r w:rsidR="007E17CE">
        <w:t xml:space="preserve">under the Title V Operating Permit 0532-RN2 issued on 8/14/2023, </w:t>
      </w:r>
      <w:r w:rsidR="00880EB1">
        <w:t xml:space="preserve">and compliance </w:t>
      </w:r>
      <w:r w:rsidR="007E17CE">
        <w:t xml:space="preserve">was demonstrated </w:t>
      </w:r>
      <w:r w:rsidR="00880EB1">
        <w:t>with the National Ambient Air Quality Standards (NAAQS) and the NM Ambient Air Quality Standards (NMAAQS)</w:t>
      </w:r>
      <w:r w:rsidR="000164A7">
        <w:t>. The</w:t>
      </w:r>
      <w:r w:rsidR="00F15AD8">
        <w:t xml:space="preserve"> annual emissions in</w:t>
      </w:r>
      <w:r w:rsidR="000164A7">
        <w:t xml:space="preserve"> tons per year (</w:t>
      </w:r>
      <w:proofErr w:type="spellStart"/>
      <w:r w:rsidR="000164A7">
        <w:t>tpy</w:t>
      </w:r>
      <w:proofErr w:type="spellEnd"/>
      <w:r w:rsidR="000164A7">
        <w:t xml:space="preserve">) will </w:t>
      </w:r>
      <w:r w:rsidR="00C80BA2">
        <w:t xml:space="preserve">not increase and </w:t>
      </w:r>
      <w:r w:rsidR="000164A7">
        <w:t xml:space="preserve">remain the same. </w:t>
      </w:r>
      <w:r w:rsidR="0011148C">
        <w:t xml:space="preserve"> </w:t>
      </w:r>
      <w:r w:rsidRPr="00DF5E54">
        <w:t xml:space="preserve">  </w:t>
      </w:r>
      <w:r w:rsidRPr="00DF5E54">
        <w:rPr>
          <w:i/>
        </w:rPr>
        <w:t xml:space="preserve">  </w:t>
      </w:r>
    </w:p>
    <w:p w14:paraId="4428E4C0" w14:textId="77777777" w:rsidR="009D2708" w:rsidRDefault="009D2708" w:rsidP="00FA4065">
      <w:pPr>
        <w:jc w:val="both"/>
      </w:pPr>
    </w:p>
    <w:p w14:paraId="6FDC7FCD" w14:textId="03133B74" w:rsidR="00770212" w:rsidRDefault="009D2708" w:rsidP="00FA4065">
      <w:pPr>
        <w:jc w:val="both"/>
      </w:pPr>
      <w:r>
        <w:t xml:space="preserve">The proposed air pollution maximum allowable emissions from this </w:t>
      </w:r>
      <w:r w:rsidR="00B43A43">
        <w:t>F</w:t>
      </w:r>
      <w:r>
        <w:t xml:space="preserve">acility have been estimated to be: </w:t>
      </w:r>
    </w:p>
    <w:tbl>
      <w:tblPr>
        <w:tblW w:w="4875" w:type="pct"/>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Look w:val="04A0" w:firstRow="1" w:lastRow="0" w:firstColumn="1" w:lastColumn="0" w:noHBand="0" w:noVBand="1"/>
      </w:tblPr>
      <w:tblGrid>
        <w:gridCol w:w="4213"/>
        <w:gridCol w:w="1217"/>
        <w:gridCol w:w="1217"/>
        <w:gridCol w:w="1217"/>
        <w:gridCol w:w="1217"/>
      </w:tblGrid>
      <w:tr w:rsidR="003978BB" w14:paraId="0146F9B3" w14:textId="77777777" w:rsidTr="003978BB">
        <w:trPr>
          <w:trHeight w:val="360"/>
        </w:trPr>
        <w:tc>
          <w:tcPr>
            <w:tcW w:w="2320" w:type="pct"/>
            <w:vMerge w:val="restart"/>
            <w:tcBorders>
              <w:top w:val="double" w:sz="6" w:space="0" w:color="000000"/>
              <w:left w:val="double" w:sz="6" w:space="0" w:color="000000"/>
              <w:bottom w:val="double" w:sz="6" w:space="0" w:color="000000"/>
              <w:right w:val="single" w:sz="6" w:space="0" w:color="000000"/>
            </w:tcBorders>
            <w:shd w:val="clear" w:color="auto" w:fill="E6E6E6"/>
            <w:vAlign w:val="center"/>
            <w:hideMark/>
          </w:tcPr>
          <w:p w14:paraId="2BBCB307" w14:textId="77777777" w:rsidR="003978BB" w:rsidRDefault="003978BB">
            <w:pPr>
              <w:spacing w:line="240" w:lineRule="auto"/>
              <w:jc w:val="center"/>
              <w:rPr>
                <w:rFonts w:cs="Times New Roman"/>
                <w:b/>
                <w:bCs/>
                <w:sz w:val="20"/>
                <w:szCs w:val="20"/>
              </w:rPr>
            </w:pPr>
            <w:r>
              <w:rPr>
                <w:rFonts w:cs="Times New Roman"/>
                <w:b/>
                <w:bCs/>
                <w:sz w:val="20"/>
                <w:szCs w:val="20"/>
              </w:rPr>
              <w:t>POLLUTANT</w:t>
            </w:r>
          </w:p>
        </w:tc>
        <w:tc>
          <w:tcPr>
            <w:tcW w:w="1340" w:type="pct"/>
            <w:gridSpan w:val="2"/>
            <w:tcBorders>
              <w:top w:val="double" w:sz="6" w:space="0" w:color="000000"/>
              <w:left w:val="single" w:sz="6" w:space="0" w:color="000000"/>
              <w:bottom w:val="single" w:sz="4" w:space="0" w:color="auto"/>
              <w:right w:val="single" w:sz="6" w:space="0" w:color="000000"/>
            </w:tcBorders>
            <w:shd w:val="clear" w:color="auto" w:fill="E6E6E6"/>
            <w:vAlign w:val="center"/>
            <w:hideMark/>
          </w:tcPr>
          <w:p w14:paraId="012CECC9" w14:textId="77777777" w:rsidR="003978BB" w:rsidRDefault="003978BB">
            <w:pPr>
              <w:spacing w:line="240" w:lineRule="auto"/>
              <w:jc w:val="center"/>
              <w:rPr>
                <w:rFonts w:cs="Times New Roman"/>
                <w:b/>
                <w:bCs/>
                <w:sz w:val="20"/>
                <w:szCs w:val="20"/>
              </w:rPr>
            </w:pPr>
            <w:r>
              <w:rPr>
                <w:rFonts w:cs="Times New Roman"/>
                <w:b/>
                <w:bCs/>
                <w:sz w:val="20"/>
                <w:szCs w:val="20"/>
              </w:rPr>
              <w:t>Proposed Net Changes</w:t>
            </w:r>
          </w:p>
        </w:tc>
        <w:tc>
          <w:tcPr>
            <w:tcW w:w="1340" w:type="pct"/>
            <w:gridSpan w:val="2"/>
            <w:tcBorders>
              <w:top w:val="double" w:sz="6" w:space="0" w:color="000000"/>
              <w:left w:val="single" w:sz="6" w:space="0" w:color="000000"/>
              <w:bottom w:val="single" w:sz="4" w:space="0" w:color="auto"/>
              <w:right w:val="double" w:sz="6" w:space="0" w:color="000000"/>
            </w:tcBorders>
            <w:shd w:val="clear" w:color="auto" w:fill="E6E6E6"/>
            <w:vAlign w:val="center"/>
            <w:hideMark/>
          </w:tcPr>
          <w:p w14:paraId="33849B4F" w14:textId="77777777" w:rsidR="003978BB" w:rsidRDefault="003978BB">
            <w:pPr>
              <w:spacing w:line="240" w:lineRule="auto"/>
              <w:jc w:val="center"/>
              <w:rPr>
                <w:rFonts w:cs="Times New Roman"/>
                <w:b/>
                <w:bCs/>
                <w:sz w:val="20"/>
                <w:szCs w:val="20"/>
              </w:rPr>
            </w:pPr>
            <w:r>
              <w:rPr>
                <w:rFonts w:cs="Times New Roman"/>
                <w:b/>
                <w:bCs/>
                <w:sz w:val="20"/>
                <w:szCs w:val="20"/>
              </w:rPr>
              <w:t>Proposed Total Emissions</w:t>
            </w:r>
            <w:r>
              <w:rPr>
                <w:rFonts w:cs="Times New Roman"/>
                <w:b/>
                <w:bCs/>
                <w:sz w:val="20"/>
                <w:szCs w:val="20"/>
                <w:vertAlign w:val="superscript"/>
              </w:rPr>
              <w:t>1</w:t>
            </w:r>
          </w:p>
        </w:tc>
      </w:tr>
      <w:tr w:rsidR="003978BB" w14:paraId="5954C5F0" w14:textId="77777777" w:rsidTr="003978BB">
        <w:trPr>
          <w:trHeight w:val="360"/>
        </w:trPr>
        <w:tc>
          <w:tcPr>
            <w:tcW w:w="0" w:type="auto"/>
            <w:vMerge/>
            <w:tcBorders>
              <w:top w:val="double" w:sz="6" w:space="0" w:color="000000"/>
              <w:left w:val="double" w:sz="6" w:space="0" w:color="000000"/>
              <w:bottom w:val="double" w:sz="6" w:space="0" w:color="000000"/>
              <w:right w:val="single" w:sz="6" w:space="0" w:color="000000"/>
            </w:tcBorders>
            <w:vAlign w:val="center"/>
            <w:hideMark/>
          </w:tcPr>
          <w:p w14:paraId="1AE5F865" w14:textId="77777777" w:rsidR="003978BB" w:rsidRDefault="003978BB">
            <w:pPr>
              <w:rPr>
                <w:rFonts w:cs="Times New Roman"/>
                <w:b/>
                <w:bCs/>
                <w:sz w:val="20"/>
                <w:szCs w:val="20"/>
              </w:rPr>
            </w:pPr>
          </w:p>
        </w:tc>
        <w:tc>
          <w:tcPr>
            <w:tcW w:w="670" w:type="pct"/>
            <w:tcBorders>
              <w:top w:val="single" w:sz="4" w:space="0" w:color="auto"/>
              <w:left w:val="single" w:sz="6" w:space="0" w:color="000000"/>
              <w:bottom w:val="double" w:sz="6" w:space="0" w:color="000000"/>
              <w:right w:val="single" w:sz="6" w:space="0" w:color="000000"/>
            </w:tcBorders>
            <w:shd w:val="clear" w:color="auto" w:fill="E6E6E6"/>
            <w:vAlign w:val="center"/>
            <w:hideMark/>
          </w:tcPr>
          <w:p w14:paraId="03770AE8" w14:textId="77777777" w:rsidR="003978BB" w:rsidRDefault="003978BB">
            <w:pPr>
              <w:spacing w:line="240" w:lineRule="auto"/>
              <w:jc w:val="center"/>
              <w:rPr>
                <w:rFonts w:cs="Times New Roman"/>
                <w:sz w:val="20"/>
                <w:szCs w:val="20"/>
              </w:rPr>
            </w:pPr>
            <w:r>
              <w:rPr>
                <w:rFonts w:cs="Times New Roman"/>
                <w:b/>
                <w:bCs/>
                <w:sz w:val="20"/>
                <w:szCs w:val="20"/>
              </w:rPr>
              <w:t xml:space="preserve"> (</w:t>
            </w:r>
            <w:proofErr w:type="spellStart"/>
            <w:r>
              <w:rPr>
                <w:rFonts w:cs="Times New Roman"/>
                <w:b/>
                <w:bCs/>
                <w:sz w:val="20"/>
                <w:szCs w:val="20"/>
              </w:rPr>
              <w:t>lbs</w:t>
            </w:r>
            <w:proofErr w:type="spellEnd"/>
            <w:r>
              <w:rPr>
                <w:rFonts w:cs="Times New Roman"/>
                <w:b/>
                <w:bCs/>
                <w:sz w:val="20"/>
                <w:szCs w:val="20"/>
              </w:rPr>
              <w:t>/</w:t>
            </w:r>
            <w:proofErr w:type="spellStart"/>
            <w:r>
              <w:rPr>
                <w:rFonts w:cs="Times New Roman"/>
                <w:b/>
                <w:bCs/>
                <w:sz w:val="20"/>
                <w:szCs w:val="20"/>
              </w:rPr>
              <w:t>hr</w:t>
            </w:r>
            <w:proofErr w:type="spellEnd"/>
            <w:r>
              <w:rPr>
                <w:rFonts w:cs="Times New Roman"/>
                <w:b/>
                <w:bCs/>
                <w:sz w:val="20"/>
                <w:szCs w:val="20"/>
              </w:rPr>
              <w:t>)</w:t>
            </w:r>
          </w:p>
        </w:tc>
        <w:tc>
          <w:tcPr>
            <w:tcW w:w="670" w:type="pct"/>
            <w:tcBorders>
              <w:top w:val="single" w:sz="4" w:space="0" w:color="auto"/>
              <w:left w:val="single" w:sz="6" w:space="0" w:color="000000"/>
              <w:bottom w:val="double" w:sz="6" w:space="0" w:color="000000"/>
              <w:right w:val="single" w:sz="6" w:space="0" w:color="000000"/>
            </w:tcBorders>
            <w:shd w:val="clear" w:color="auto" w:fill="E6E6E6"/>
            <w:vAlign w:val="center"/>
            <w:hideMark/>
          </w:tcPr>
          <w:p w14:paraId="08EA2334" w14:textId="77777777" w:rsidR="003978BB" w:rsidRDefault="003978BB">
            <w:pPr>
              <w:spacing w:line="240" w:lineRule="auto"/>
              <w:jc w:val="center"/>
              <w:rPr>
                <w:rFonts w:cs="Times New Roman"/>
                <w:sz w:val="20"/>
                <w:szCs w:val="20"/>
              </w:rPr>
            </w:pPr>
            <w:r>
              <w:rPr>
                <w:rFonts w:cs="Times New Roman"/>
                <w:b/>
                <w:bCs/>
                <w:sz w:val="20"/>
                <w:szCs w:val="20"/>
              </w:rPr>
              <w:t xml:space="preserve"> (</w:t>
            </w:r>
            <w:proofErr w:type="spellStart"/>
            <w:r>
              <w:rPr>
                <w:rFonts w:cs="Times New Roman"/>
                <w:b/>
                <w:bCs/>
                <w:sz w:val="20"/>
                <w:szCs w:val="20"/>
              </w:rPr>
              <w:t>tpy</w:t>
            </w:r>
            <w:proofErr w:type="spellEnd"/>
            <w:r>
              <w:rPr>
                <w:rFonts w:cs="Times New Roman"/>
                <w:b/>
                <w:bCs/>
                <w:sz w:val="20"/>
                <w:szCs w:val="20"/>
              </w:rPr>
              <w:t>)</w:t>
            </w:r>
          </w:p>
        </w:tc>
        <w:tc>
          <w:tcPr>
            <w:tcW w:w="670" w:type="pct"/>
            <w:tcBorders>
              <w:top w:val="single" w:sz="4" w:space="0" w:color="auto"/>
              <w:left w:val="single" w:sz="6" w:space="0" w:color="000000"/>
              <w:bottom w:val="double" w:sz="6" w:space="0" w:color="000000"/>
              <w:right w:val="single" w:sz="6" w:space="0" w:color="000000"/>
            </w:tcBorders>
            <w:shd w:val="clear" w:color="auto" w:fill="E6E6E6"/>
            <w:vAlign w:val="center"/>
            <w:hideMark/>
          </w:tcPr>
          <w:p w14:paraId="195528DB" w14:textId="77777777" w:rsidR="003978BB" w:rsidRDefault="003978BB">
            <w:pPr>
              <w:spacing w:line="240" w:lineRule="auto"/>
              <w:jc w:val="center"/>
              <w:rPr>
                <w:rFonts w:cs="Times New Roman"/>
                <w:sz w:val="20"/>
                <w:szCs w:val="20"/>
              </w:rPr>
            </w:pPr>
            <w:r>
              <w:rPr>
                <w:rFonts w:cs="Times New Roman"/>
                <w:b/>
                <w:bCs/>
                <w:sz w:val="20"/>
                <w:szCs w:val="20"/>
              </w:rPr>
              <w:t xml:space="preserve"> (</w:t>
            </w:r>
            <w:proofErr w:type="spellStart"/>
            <w:r>
              <w:rPr>
                <w:rFonts w:cs="Times New Roman"/>
                <w:b/>
                <w:bCs/>
                <w:sz w:val="20"/>
                <w:szCs w:val="20"/>
              </w:rPr>
              <w:t>lbs</w:t>
            </w:r>
            <w:proofErr w:type="spellEnd"/>
            <w:r>
              <w:rPr>
                <w:rFonts w:cs="Times New Roman"/>
                <w:b/>
                <w:bCs/>
                <w:sz w:val="20"/>
                <w:szCs w:val="20"/>
              </w:rPr>
              <w:t>/</w:t>
            </w:r>
            <w:proofErr w:type="spellStart"/>
            <w:r>
              <w:rPr>
                <w:rFonts w:cs="Times New Roman"/>
                <w:b/>
                <w:bCs/>
                <w:sz w:val="20"/>
                <w:szCs w:val="20"/>
              </w:rPr>
              <w:t>hr</w:t>
            </w:r>
            <w:proofErr w:type="spellEnd"/>
            <w:r>
              <w:rPr>
                <w:rFonts w:cs="Times New Roman"/>
                <w:b/>
                <w:bCs/>
                <w:sz w:val="20"/>
                <w:szCs w:val="20"/>
              </w:rPr>
              <w:t>)</w:t>
            </w:r>
          </w:p>
        </w:tc>
        <w:tc>
          <w:tcPr>
            <w:tcW w:w="670" w:type="pct"/>
            <w:tcBorders>
              <w:top w:val="single" w:sz="4" w:space="0" w:color="auto"/>
              <w:left w:val="single" w:sz="6" w:space="0" w:color="000000"/>
              <w:bottom w:val="double" w:sz="6" w:space="0" w:color="000000"/>
              <w:right w:val="double" w:sz="6" w:space="0" w:color="000000"/>
            </w:tcBorders>
            <w:shd w:val="clear" w:color="auto" w:fill="E6E6E6"/>
            <w:vAlign w:val="center"/>
            <w:hideMark/>
          </w:tcPr>
          <w:p w14:paraId="730D1E6A" w14:textId="77777777" w:rsidR="003978BB" w:rsidRDefault="003978BB">
            <w:pPr>
              <w:spacing w:line="240" w:lineRule="auto"/>
              <w:jc w:val="center"/>
              <w:rPr>
                <w:rFonts w:cs="Times New Roman"/>
                <w:sz w:val="20"/>
                <w:szCs w:val="20"/>
              </w:rPr>
            </w:pPr>
            <w:r>
              <w:rPr>
                <w:rFonts w:cs="Times New Roman"/>
                <w:b/>
                <w:bCs/>
                <w:sz w:val="20"/>
                <w:szCs w:val="20"/>
              </w:rPr>
              <w:t xml:space="preserve"> (</w:t>
            </w:r>
            <w:proofErr w:type="spellStart"/>
            <w:r>
              <w:rPr>
                <w:rFonts w:cs="Times New Roman"/>
                <w:b/>
                <w:bCs/>
                <w:sz w:val="20"/>
                <w:szCs w:val="20"/>
              </w:rPr>
              <w:t>tpy</w:t>
            </w:r>
            <w:proofErr w:type="spellEnd"/>
            <w:r>
              <w:rPr>
                <w:rFonts w:cs="Times New Roman"/>
                <w:b/>
                <w:bCs/>
                <w:sz w:val="20"/>
                <w:szCs w:val="20"/>
              </w:rPr>
              <w:t>)</w:t>
            </w:r>
          </w:p>
        </w:tc>
      </w:tr>
      <w:tr w:rsidR="003978BB" w14:paraId="4BCFAC02" w14:textId="77777777" w:rsidTr="003978BB">
        <w:trPr>
          <w:trHeight w:val="288"/>
        </w:trPr>
        <w:tc>
          <w:tcPr>
            <w:tcW w:w="2320" w:type="pct"/>
            <w:tcBorders>
              <w:top w:val="single" w:sz="6" w:space="0" w:color="000000"/>
              <w:left w:val="double" w:sz="6" w:space="0" w:color="000000"/>
              <w:bottom w:val="single" w:sz="6" w:space="0" w:color="000000"/>
              <w:right w:val="single" w:sz="4" w:space="0" w:color="auto"/>
            </w:tcBorders>
            <w:vAlign w:val="center"/>
            <w:hideMark/>
          </w:tcPr>
          <w:p w14:paraId="243A64BA" w14:textId="77777777" w:rsidR="003978BB" w:rsidRDefault="003978BB">
            <w:pPr>
              <w:spacing w:line="240" w:lineRule="auto"/>
              <w:jc w:val="center"/>
              <w:rPr>
                <w:rFonts w:cs="Times New Roman"/>
                <w:sz w:val="20"/>
                <w:szCs w:val="20"/>
              </w:rPr>
            </w:pPr>
            <w:r>
              <w:rPr>
                <w:rFonts w:cs="Times New Roman"/>
                <w:sz w:val="20"/>
                <w:szCs w:val="20"/>
              </w:rPr>
              <w:t>Carbon Monoxide (CO)</w:t>
            </w:r>
          </w:p>
        </w:tc>
        <w:tc>
          <w:tcPr>
            <w:tcW w:w="670" w:type="pct"/>
            <w:tcBorders>
              <w:top w:val="nil"/>
              <w:left w:val="single" w:sz="4" w:space="0" w:color="auto"/>
              <w:bottom w:val="single" w:sz="4" w:space="0" w:color="auto"/>
              <w:right w:val="single" w:sz="4" w:space="0" w:color="auto"/>
            </w:tcBorders>
            <w:vAlign w:val="bottom"/>
            <w:hideMark/>
          </w:tcPr>
          <w:p w14:paraId="6F36F38E" w14:textId="6530E3CB" w:rsidR="003978BB" w:rsidRDefault="00C77093">
            <w:pPr>
              <w:spacing w:line="240" w:lineRule="auto"/>
              <w:jc w:val="center"/>
              <w:rPr>
                <w:rFonts w:cs="Times New Roman"/>
                <w:sz w:val="20"/>
                <w:szCs w:val="20"/>
              </w:rPr>
            </w:pPr>
            <w:r>
              <w:rPr>
                <w:rFonts w:cs="Times New Roman"/>
                <w:sz w:val="20"/>
                <w:szCs w:val="20"/>
              </w:rPr>
              <w:t>+1011</w:t>
            </w:r>
          </w:p>
        </w:tc>
        <w:tc>
          <w:tcPr>
            <w:tcW w:w="670" w:type="pct"/>
            <w:tcBorders>
              <w:top w:val="nil"/>
              <w:left w:val="single" w:sz="4" w:space="0" w:color="auto"/>
              <w:bottom w:val="single" w:sz="4" w:space="0" w:color="auto"/>
              <w:right w:val="single" w:sz="4" w:space="0" w:color="auto"/>
            </w:tcBorders>
            <w:vAlign w:val="bottom"/>
            <w:hideMark/>
          </w:tcPr>
          <w:p w14:paraId="2A2A936F" w14:textId="2F4D460C" w:rsidR="003978BB" w:rsidRDefault="000963C8">
            <w:pPr>
              <w:spacing w:line="240" w:lineRule="auto"/>
              <w:jc w:val="center"/>
              <w:rPr>
                <w:rFonts w:cs="Times New Roman"/>
                <w:sz w:val="20"/>
                <w:szCs w:val="20"/>
              </w:rPr>
            </w:pPr>
            <w:r>
              <w:rPr>
                <w:rFonts w:cs="Times New Roman"/>
                <w:sz w:val="20"/>
                <w:szCs w:val="20"/>
              </w:rPr>
              <w:t>0.0</w:t>
            </w:r>
          </w:p>
        </w:tc>
        <w:tc>
          <w:tcPr>
            <w:tcW w:w="670" w:type="pct"/>
            <w:tcBorders>
              <w:top w:val="single" w:sz="6" w:space="0" w:color="000000"/>
              <w:left w:val="single" w:sz="4" w:space="0" w:color="auto"/>
              <w:bottom w:val="single" w:sz="6" w:space="0" w:color="000000"/>
              <w:right w:val="single" w:sz="4" w:space="0" w:color="auto"/>
            </w:tcBorders>
            <w:vAlign w:val="center"/>
            <w:hideMark/>
          </w:tcPr>
          <w:p w14:paraId="3E66E51D" w14:textId="423845BD" w:rsidR="003978BB" w:rsidRDefault="00C77093">
            <w:pPr>
              <w:spacing w:line="240" w:lineRule="auto"/>
              <w:jc w:val="center"/>
              <w:rPr>
                <w:rFonts w:cs="Times New Roman"/>
                <w:sz w:val="20"/>
                <w:szCs w:val="20"/>
              </w:rPr>
            </w:pPr>
            <w:r>
              <w:rPr>
                <w:rFonts w:cs="Times New Roman"/>
                <w:sz w:val="20"/>
                <w:szCs w:val="20"/>
              </w:rPr>
              <w:t>1348.00</w:t>
            </w:r>
          </w:p>
        </w:tc>
        <w:tc>
          <w:tcPr>
            <w:tcW w:w="670" w:type="pct"/>
            <w:tcBorders>
              <w:top w:val="single" w:sz="6" w:space="0" w:color="000000"/>
              <w:left w:val="single" w:sz="4" w:space="0" w:color="auto"/>
              <w:bottom w:val="single" w:sz="6" w:space="0" w:color="000000"/>
              <w:right w:val="double" w:sz="6" w:space="0" w:color="000000"/>
            </w:tcBorders>
            <w:vAlign w:val="center"/>
            <w:hideMark/>
          </w:tcPr>
          <w:p w14:paraId="0C705092" w14:textId="35B45E9F" w:rsidR="003978BB" w:rsidRDefault="00B0279D">
            <w:pPr>
              <w:spacing w:line="240" w:lineRule="auto"/>
              <w:jc w:val="center"/>
              <w:rPr>
                <w:rFonts w:cs="Times New Roman"/>
                <w:sz w:val="20"/>
                <w:szCs w:val="20"/>
              </w:rPr>
            </w:pPr>
            <w:r>
              <w:rPr>
                <w:rFonts w:cs="Times New Roman"/>
                <w:sz w:val="20"/>
                <w:szCs w:val="20"/>
              </w:rPr>
              <w:t>1</w:t>
            </w:r>
            <w:r w:rsidR="00C77093">
              <w:rPr>
                <w:rFonts w:cs="Times New Roman"/>
                <w:sz w:val="20"/>
                <w:szCs w:val="20"/>
              </w:rPr>
              <w:t>446.54</w:t>
            </w:r>
          </w:p>
        </w:tc>
      </w:tr>
      <w:tr w:rsidR="00C77093" w14:paraId="08C0B8CA" w14:textId="77777777" w:rsidTr="003978BB">
        <w:trPr>
          <w:trHeight w:val="288"/>
        </w:trPr>
        <w:tc>
          <w:tcPr>
            <w:tcW w:w="2320" w:type="pct"/>
            <w:tcBorders>
              <w:top w:val="single" w:sz="6" w:space="0" w:color="000000"/>
              <w:left w:val="double" w:sz="6" w:space="0" w:color="000000"/>
              <w:bottom w:val="single" w:sz="6" w:space="0" w:color="000000"/>
              <w:right w:val="single" w:sz="4" w:space="0" w:color="auto"/>
            </w:tcBorders>
            <w:vAlign w:val="center"/>
            <w:hideMark/>
          </w:tcPr>
          <w:p w14:paraId="7906A0B0" w14:textId="77777777" w:rsidR="00C77093" w:rsidRDefault="00C77093" w:rsidP="00C77093">
            <w:pPr>
              <w:spacing w:line="240" w:lineRule="auto"/>
              <w:jc w:val="center"/>
              <w:rPr>
                <w:rFonts w:cs="Times New Roman"/>
                <w:sz w:val="20"/>
                <w:szCs w:val="20"/>
              </w:rPr>
            </w:pPr>
            <w:r>
              <w:rPr>
                <w:rFonts w:cs="Times New Roman"/>
                <w:sz w:val="20"/>
                <w:szCs w:val="20"/>
              </w:rPr>
              <w:t>Nitrogen Oxides (NOx)</w:t>
            </w:r>
          </w:p>
        </w:tc>
        <w:tc>
          <w:tcPr>
            <w:tcW w:w="670" w:type="pct"/>
            <w:tcBorders>
              <w:top w:val="single" w:sz="4" w:space="0" w:color="auto"/>
              <w:left w:val="single" w:sz="4" w:space="0" w:color="auto"/>
              <w:bottom w:val="single" w:sz="4" w:space="0" w:color="auto"/>
              <w:right w:val="single" w:sz="4" w:space="0" w:color="auto"/>
            </w:tcBorders>
            <w:vAlign w:val="bottom"/>
            <w:hideMark/>
          </w:tcPr>
          <w:p w14:paraId="0E4F8996" w14:textId="5BBC2CB9" w:rsidR="00C77093" w:rsidRDefault="00C77093" w:rsidP="00C77093">
            <w:pPr>
              <w:spacing w:line="240" w:lineRule="auto"/>
              <w:jc w:val="center"/>
              <w:rPr>
                <w:rFonts w:cs="Times New Roman"/>
                <w:sz w:val="20"/>
                <w:szCs w:val="20"/>
              </w:rPr>
            </w:pPr>
            <w:r>
              <w:rPr>
                <w:rFonts w:cs="Times New Roman"/>
                <w:sz w:val="20"/>
                <w:szCs w:val="20"/>
              </w:rPr>
              <w:t>+621</w:t>
            </w:r>
          </w:p>
        </w:tc>
        <w:tc>
          <w:tcPr>
            <w:tcW w:w="670" w:type="pct"/>
            <w:tcBorders>
              <w:top w:val="single" w:sz="4" w:space="0" w:color="auto"/>
              <w:left w:val="single" w:sz="4" w:space="0" w:color="auto"/>
              <w:bottom w:val="single" w:sz="4" w:space="0" w:color="auto"/>
              <w:right w:val="single" w:sz="4" w:space="0" w:color="auto"/>
            </w:tcBorders>
            <w:vAlign w:val="bottom"/>
            <w:hideMark/>
          </w:tcPr>
          <w:p w14:paraId="1C5DE688" w14:textId="46C4466D" w:rsidR="00C77093" w:rsidRDefault="00C77093" w:rsidP="00C77093">
            <w:pPr>
              <w:spacing w:line="240" w:lineRule="auto"/>
              <w:jc w:val="center"/>
              <w:rPr>
                <w:rFonts w:cs="Times New Roman"/>
                <w:sz w:val="20"/>
                <w:szCs w:val="20"/>
              </w:rPr>
            </w:pPr>
            <w:r>
              <w:rPr>
                <w:rFonts w:cs="Times New Roman"/>
                <w:sz w:val="20"/>
                <w:szCs w:val="20"/>
              </w:rPr>
              <w:t>0.0</w:t>
            </w:r>
          </w:p>
        </w:tc>
        <w:tc>
          <w:tcPr>
            <w:tcW w:w="670" w:type="pct"/>
            <w:tcBorders>
              <w:top w:val="single" w:sz="6" w:space="0" w:color="000000"/>
              <w:left w:val="single" w:sz="4" w:space="0" w:color="auto"/>
              <w:bottom w:val="single" w:sz="6" w:space="0" w:color="000000"/>
              <w:right w:val="single" w:sz="4" w:space="0" w:color="auto"/>
            </w:tcBorders>
            <w:vAlign w:val="center"/>
            <w:hideMark/>
          </w:tcPr>
          <w:p w14:paraId="5961BB3C" w14:textId="044EBD40" w:rsidR="00C77093" w:rsidRDefault="00C77093" w:rsidP="00C77093">
            <w:pPr>
              <w:spacing w:line="240" w:lineRule="auto"/>
              <w:jc w:val="center"/>
              <w:rPr>
                <w:rFonts w:cs="Times New Roman"/>
                <w:sz w:val="20"/>
                <w:szCs w:val="20"/>
              </w:rPr>
            </w:pPr>
            <w:r>
              <w:rPr>
                <w:rFonts w:cs="Times New Roman"/>
                <w:sz w:val="20"/>
                <w:szCs w:val="20"/>
              </w:rPr>
              <w:t>975.00</w:t>
            </w:r>
          </w:p>
        </w:tc>
        <w:tc>
          <w:tcPr>
            <w:tcW w:w="670" w:type="pct"/>
            <w:tcBorders>
              <w:top w:val="single" w:sz="6" w:space="0" w:color="000000"/>
              <w:left w:val="single" w:sz="4" w:space="0" w:color="auto"/>
              <w:bottom w:val="single" w:sz="6" w:space="0" w:color="000000"/>
              <w:right w:val="double" w:sz="6" w:space="0" w:color="000000"/>
            </w:tcBorders>
            <w:vAlign w:val="center"/>
            <w:hideMark/>
          </w:tcPr>
          <w:p w14:paraId="1558BFBF" w14:textId="31F86142" w:rsidR="00C77093" w:rsidRDefault="00C77093" w:rsidP="00C77093">
            <w:pPr>
              <w:spacing w:line="240" w:lineRule="auto"/>
              <w:jc w:val="center"/>
              <w:rPr>
                <w:rFonts w:cs="Times New Roman"/>
                <w:sz w:val="20"/>
                <w:szCs w:val="20"/>
              </w:rPr>
            </w:pPr>
            <w:r>
              <w:rPr>
                <w:rFonts w:cs="Times New Roman"/>
                <w:sz w:val="20"/>
                <w:szCs w:val="20"/>
              </w:rPr>
              <w:t>1518.87</w:t>
            </w:r>
          </w:p>
        </w:tc>
      </w:tr>
      <w:tr w:rsidR="003978BB" w14:paraId="7262A0D9" w14:textId="77777777" w:rsidTr="003978BB">
        <w:trPr>
          <w:trHeight w:val="288"/>
        </w:trPr>
        <w:tc>
          <w:tcPr>
            <w:tcW w:w="2320" w:type="pct"/>
            <w:tcBorders>
              <w:top w:val="single" w:sz="6" w:space="0" w:color="000000"/>
              <w:left w:val="double" w:sz="6" w:space="0" w:color="000000"/>
              <w:bottom w:val="single" w:sz="6" w:space="0" w:color="000000"/>
              <w:right w:val="single" w:sz="4" w:space="0" w:color="auto"/>
            </w:tcBorders>
            <w:vAlign w:val="center"/>
            <w:hideMark/>
          </w:tcPr>
          <w:p w14:paraId="647DCBE9" w14:textId="77777777" w:rsidR="003978BB" w:rsidRDefault="003978BB">
            <w:pPr>
              <w:spacing w:line="240" w:lineRule="auto"/>
              <w:jc w:val="center"/>
              <w:rPr>
                <w:rFonts w:cs="Times New Roman"/>
                <w:sz w:val="20"/>
                <w:szCs w:val="20"/>
              </w:rPr>
            </w:pPr>
            <w:r>
              <w:rPr>
                <w:rFonts w:cs="Times New Roman"/>
                <w:sz w:val="20"/>
                <w:szCs w:val="20"/>
              </w:rPr>
              <w:t>Volatile Organic Compounds (VOC)</w:t>
            </w:r>
          </w:p>
        </w:tc>
        <w:tc>
          <w:tcPr>
            <w:tcW w:w="670" w:type="pct"/>
            <w:tcBorders>
              <w:top w:val="single" w:sz="4" w:space="0" w:color="auto"/>
              <w:left w:val="single" w:sz="4" w:space="0" w:color="auto"/>
              <w:bottom w:val="single" w:sz="6" w:space="0" w:color="000000"/>
              <w:right w:val="single" w:sz="4" w:space="0" w:color="auto"/>
            </w:tcBorders>
            <w:vAlign w:val="center"/>
            <w:hideMark/>
          </w:tcPr>
          <w:p w14:paraId="4904A221" w14:textId="77777777" w:rsidR="003978BB" w:rsidRDefault="003978BB">
            <w:pPr>
              <w:spacing w:line="240" w:lineRule="auto"/>
              <w:jc w:val="center"/>
              <w:rPr>
                <w:rFonts w:cs="Times New Roman"/>
                <w:sz w:val="20"/>
                <w:szCs w:val="20"/>
              </w:rPr>
            </w:pPr>
            <w:r>
              <w:rPr>
                <w:rFonts w:cs="Times New Roman"/>
                <w:sz w:val="20"/>
                <w:szCs w:val="20"/>
              </w:rPr>
              <w:t>0</w:t>
            </w:r>
          </w:p>
        </w:tc>
        <w:tc>
          <w:tcPr>
            <w:tcW w:w="670" w:type="pct"/>
            <w:tcBorders>
              <w:top w:val="single" w:sz="4" w:space="0" w:color="auto"/>
              <w:left w:val="single" w:sz="4" w:space="0" w:color="auto"/>
              <w:bottom w:val="single" w:sz="6" w:space="0" w:color="000000"/>
              <w:right w:val="single" w:sz="4" w:space="0" w:color="auto"/>
            </w:tcBorders>
            <w:vAlign w:val="center"/>
            <w:hideMark/>
          </w:tcPr>
          <w:p w14:paraId="51CCA8D3" w14:textId="23A5F0EC" w:rsidR="003978BB" w:rsidRDefault="00B0279D">
            <w:pPr>
              <w:spacing w:line="240" w:lineRule="auto"/>
              <w:jc w:val="center"/>
              <w:rPr>
                <w:rFonts w:cs="Times New Roman"/>
                <w:sz w:val="20"/>
                <w:szCs w:val="20"/>
              </w:rPr>
            </w:pPr>
            <w:r>
              <w:rPr>
                <w:rFonts w:cs="Times New Roman"/>
                <w:sz w:val="20"/>
                <w:szCs w:val="20"/>
              </w:rPr>
              <w:t>0.0</w:t>
            </w:r>
          </w:p>
        </w:tc>
        <w:tc>
          <w:tcPr>
            <w:tcW w:w="670" w:type="pct"/>
            <w:tcBorders>
              <w:top w:val="single" w:sz="4" w:space="0" w:color="BFBFBF"/>
              <w:left w:val="single" w:sz="4" w:space="0" w:color="auto"/>
              <w:bottom w:val="single" w:sz="4" w:space="0" w:color="auto"/>
              <w:right w:val="single" w:sz="4" w:space="0" w:color="auto"/>
            </w:tcBorders>
            <w:vAlign w:val="bottom"/>
            <w:hideMark/>
          </w:tcPr>
          <w:p w14:paraId="33758284" w14:textId="25545C3B" w:rsidR="003978BB" w:rsidRDefault="009D5FBD">
            <w:pPr>
              <w:spacing w:line="240" w:lineRule="auto"/>
              <w:jc w:val="center"/>
              <w:rPr>
                <w:rFonts w:cs="Times New Roman"/>
                <w:sz w:val="20"/>
                <w:szCs w:val="20"/>
              </w:rPr>
            </w:pPr>
            <w:r>
              <w:rPr>
                <w:rFonts w:cs="Times New Roman"/>
                <w:sz w:val="20"/>
                <w:szCs w:val="20"/>
              </w:rPr>
              <w:t>15.50</w:t>
            </w:r>
          </w:p>
        </w:tc>
        <w:tc>
          <w:tcPr>
            <w:tcW w:w="670" w:type="pct"/>
            <w:tcBorders>
              <w:top w:val="single" w:sz="4" w:space="0" w:color="BFBFBF"/>
              <w:left w:val="single" w:sz="4" w:space="0" w:color="auto"/>
              <w:bottom w:val="single" w:sz="4" w:space="0" w:color="auto"/>
              <w:right w:val="double" w:sz="4" w:space="0" w:color="auto"/>
            </w:tcBorders>
            <w:vAlign w:val="bottom"/>
            <w:hideMark/>
          </w:tcPr>
          <w:p w14:paraId="3E1CCFF4" w14:textId="3A1A9255" w:rsidR="003978BB" w:rsidRDefault="009D5FBD">
            <w:pPr>
              <w:spacing w:line="240" w:lineRule="auto"/>
              <w:jc w:val="center"/>
              <w:rPr>
                <w:rFonts w:cs="Times New Roman"/>
                <w:sz w:val="20"/>
                <w:szCs w:val="20"/>
              </w:rPr>
            </w:pPr>
            <w:r>
              <w:rPr>
                <w:rFonts w:cs="Times New Roman"/>
                <w:sz w:val="20"/>
                <w:szCs w:val="20"/>
              </w:rPr>
              <w:t>66.54</w:t>
            </w:r>
          </w:p>
        </w:tc>
      </w:tr>
      <w:tr w:rsidR="003978BB" w14:paraId="7595F793" w14:textId="77777777" w:rsidTr="003978BB">
        <w:trPr>
          <w:trHeight w:val="288"/>
        </w:trPr>
        <w:tc>
          <w:tcPr>
            <w:tcW w:w="2320" w:type="pct"/>
            <w:tcBorders>
              <w:top w:val="single" w:sz="6" w:space="0" w:color="000000"/>
              <w:left w:val="double" w:sz="6" w:space="0" w:color="000000"/>
              <w:bottom w:val="single" w:sz="6" w:space="0" w:color="000000"/>
              <w:right w:val="single" w:sz="4" w:space="0" w:color="auto"/>
            </w:tcBorders>
            <w:vAlign w:val="center"/>
            <w:hideMark/>
          </w:tcPr>
          <w:p w14:paraId="4CC1A389" w14:textId="77777777" w:rsidR="003978BB" w:rsidRDefault="003978BB">
            <w:pPr>
              <w:spacing w:line="240" w:lineRule="auto"/>
              <w:jc w:val="center"/>
              <w:rPr>
                <w:rFonts w:cs="Times New Roman"/>
                <w:sz w:val="20"/>
                <w:szCs w:val="20"/>
              </w:rPr>
            </w:pPr>
            <w:r>
              <w:rPr>
                <w:rFonts w:cs="Times New Roman"/>
                <w:sz w:val="20"/>
                <w:szCs w:val="20"/>
              </w:rPr>
              <w:t>Sulfur Oxides (</w:t>
            </w:r>
            <w:proofErr w:type="spellStart"/>
            <w:r>
              <w:rPr>
                <w:rFonts w:cs="Times New Roman"/>
                <w:sz w:val="20"/>
                <w:szCs w:val="20"/>
              </w:rPr>
              <w:t>SOx</w:t>
            </w:r>
            <w:proofErr w:type="spellEnd"/>
            <w:r>
              <w:rPr>
                <w:rFonts w:cs="Times New Roman"/>
                <w:sz w:val="20"/>
                <w:szCs w:val="20"/>
              </w:rPr>
              <w:t>)</w:t>
            </w:r>
          </w:p>
        </w:tc>
        <w:tc>
          <w:tcPr>
            <w:tcW w:w="670" w:type="pct"/>
            <w:tcBorders>
              <w:top w:val="single" w:sz="6" w:space="0" w:color="000000"/>
              <w:left w:val="single" w:sz="4" w:space="0" w:color="auto"/>
              <w:bottom w:val="single" w:sz="4" w:space="0" w:color="auto"/>
              <w:right w:val="single" w:sz="4" w:space="0" w:color="auto"/>
            </w:tcBorders>
            <w:vAlign w:val="center"/>
            <w:hideMark/>
          </w:tcPr>
          <w:p w14:paraId="3BAB9E9A" w14:textId="3C32554C" w:rsidR="003978BB" w:rsidRDefault="00C04323">
            <w:pPr>
              <w:spacing w:line="240" w:lineRule="auto"/>
              <w:jc w:val="center"/>
              <w:rPr>
                <w:rFonts w:cs="Times New Roman"/>
                <w:sz w:val="20"/>
                <w:szCs w:val="20"/>
              </w:rPr>
            </w:pPr>
            <w:r>
              <w:rPr>
                <w:rFonts w:cs="Times New Roman"/>
                <w:sz w:val="20"/>
                <w:szCs w:val="20"/>
              </w:rPr>
              <w:t>-</w:t>
            </w:r>
            <w:bookmarkStart w:id="0" w:name="_GoBack"/>
            <w:bookmarkEnd w:id="0"/>
            <w:r>
              <w:rPr>
                <w:rFonts w:cs="Times New Roman"/>
                <w:sz w:val="20"/>
                <w:szCs w:val="20"/>
              </w:rPr>
              <w:t>136.66</w:t>
            </w:r>
          </w:p>
        </w:tc>
        <w:tc>
          <w:tcPr>
            <w:tcW w:w="670" w:type="pct"/>
            <w:tcBorders>
              <w:top w:val="single" w:sz="6" w:space="0" w:color="000000"/>
              <w:left w:val="single" w:sz="4" w:space="0" w:color="auto"/>
              <w:bottom w:val="single" w:sz="4" w:space="0" w:color="auto"/>
              <w:right w:val="single" w:sz="4" w:space="0" w:color="auto"/>
            </w:tcBorders>
            <w:vAlign w:val="center"/>
            <w:hideMark/>
          </w:tcPr>
          <w:p w14:paraId="41F05FFF" w14:textId="2E1FFF91" w:rsidR="003978BB" w:rsidRDefault="00B0279D">
            <w:pPr>
              <w:spacing w:line="240" w:lineRule="auto"/>
              <w:jc w:val="center"/>
              <w:rPr>
                <w:rFonts w:cs="Times New Roman"/>
                <w:sz w:val="20"/>
                <w:szCs w:val="20"/>
              </w:rPr>
            </w:pPr>
            <w:r>
              <w:rPr>
                <w:rFonts w:cs="Times New Roman"/>
                <w:sz w:val="20"/>
                <w:szCs w:val="20"/>
              </w:rPr>
              <w:t>0.0</w:t>
            </w:r>
          </w:p>
        </w:tc>
        <w:tc>
          <w:tcPr>
            <w:tcW w:w="670" w:type="pct"/>
            <w:tcBorders>
              <w:top w:val="single" w:sz="4" w:space="0" w:color="auto"/>
              <w:left w:val="single" w:sz="4" w:space="0" w:color="auto"/>
              <w:bottom w:val="single" w:sz="4" w:space="0" w:color="auto"/>
              <w:right w:val="single" w:sz="4" w:space="0" w:color="auto"/>
            </w:tcBorders>
            <w:vAlign w:val="bottom"/>
            <w:hideMark/>
          </w:tcPr>
          <w:p w14:paraId="3D9FA29D" w14:textId="5D0F53CC" w:rsidR="003978BB" w:rsidRDefault="009D5FBD">
            <w:pPr>
              <w:spacing w:line="240" w:lineRule="auto"/>
              <w:jc w:val="center"/>
              <w:rPr>
                <w:rFonts w:cs="Times New Roman"/>
                <w:sz w:val="20"/>
                <w:szCs w:val="20"/>
              </w:rPr>
            </w:pPr>
            <w:r>
              <w:rPr>
                <w:rFonts w:cs="Times New Roman"/>
                <w:sz w:val="20"/>
                <w:szCs w:val="20"/>
              </w:rPr>
              <w:t>193.60</w:t>
            </w:r>
          </w:p>
        </w:tc>
        <w:tc>
          <w:tcPr>
            <w:tcW w:w="670" w:type="pct"/>
            <w:tcBorders>
              <w:top w:val="single" w:sz="4" w:space="0" w:color="auto"/>
              <w:left w:val="single" w:sz="4" w:space="0" w:color="auto"/>
              <w:bottom w:val="single" w:sz="4" w:space="0" w:color="auto"/>
              <w:right w:val="double" w:sz="4" w:space="0" w:color="auto"/>
            </w:tcBorders>
            <w:vAlign w:val="bottom"/>
            <w:hideMark/>
          </w:tcPr>
          <w:p w14:paraId="302E26DF" w14:textId="2433ABB9" w:rsidR="003978BB" w:rsidRDefault="009D5FBD">
            <w:pPr>
              <w:spacing w:line="240" w:lineRule="auto"/>
              <w:jc w:val="center"/>
              <w:rPr>
                <w:rFonts w:cs="Times New Roman"/>
                <w:sz w:val="20"/>
                <w:szCs w:val="20"/>
              </w:rPr>
            </w:pPr>
            <w:r>
              <w:rPr>
                <w:rFonts w:cs="Times New Roman"/>
                <w:color w:val="000000"/>
                <w:sz w:val="20"/>
                <w:szCs w:val="20"/>
              </w:rPr>
              <w:t>848.18</w:t>
            </w:r>
          </w:p>
        </w:tc>
      </w:tr>
      <w:tr w:rsidR="003978BB" w14:paraId="025E29B5" w14:textId="77777777" w:rsidTr="003978BB">
        <w:trPr>
          <w:trHeight w:val="288"/>
        </w:trPr>
        <w:tc>
          <w:tcPr>
            <w:tcW w:w="2320" w:type="pct"/>
            <w:tcBorders>
              <w:top w:val="single" w:sz="6" w:space="0" w:color="000000"/>
              <w:left w:val="double" w:sz="6" w:space="0" w:color="000000"/>
              <w:bottom w:val="single" w:sz="6" w:space="0" w:color="000000"/>
              <w:right w:val="single" w:sz="4" w:space="0" w:color="auto"/>
            </w:tcBorders>
            <w:vAlign w:val="center"/>
            <w:hideMark/>
          </w:tcPr>
          <w:p w14:paraId="1547B5F2" w14:textId="77777777" w:rsidR="003978BB" w:rsidRDefault="003978BB">
            <w:pPr>
              <w:spacing w:line="240" w:lineRule="auto"/>
              <w:jc w:val="center"/>
              <w:rPr>
                <w:rFonts w:cs="Times New Roman"/>
                <w:sz w:val="20"/>
                <w:szCs w:val="20"/>
              </w:rPr>
            </w:pPr>
            <w:r>
              <w:rPr>
                <w:rFonts w:cs="Times New Roman"/>
                <w:sz w:val="20"/>
                <w:szCs w:val="20"/>
              </w:rPr>
              <w:t>Particulate Matter ≤ 10 microns (PM</w:t>
            </w:r>
            <w:r>
              <w:rPr>
                <w:rFonts w:cs="Times New Roman"/>
                <w:sz w:val="20"/>
                <w:szCs w:val="20"/>
                <w:vertAlign w:val="subscript"/>
              </w:rPr>
              <w:t>10</w:t>
            </w:r>
            <w:r>
              <w:rPr>
                <w:rFonts w:cs="Times New Roman"/>
                <w:sz w:val="20"/>
                <w:szCs w:val="20"/>
              </w:rPr>
              <w:t>)</w:t>
            </w:r>
          </w:p>
        </w:tc>
        <w:tc>
          <w:tcPr>
            <w:tcW w:w="670" w:type="pct"/>
            <w:tcBorders>
              <w:top w:val="single" w:sz="4" w:space="0" w:color="auto"/>
              <w:left w:val="single" w:sz="4" w:space="0" w:color="auto"/>
              <w:bottom w:val="single" w:sz="4" w:space="0" w:color="auto"/>
              <w:right w:val="single" w:sz="4" w:space="0" w:color="auto"/>
            </w:tcBorders>
            <w:vAlign w:val="bottom"/>
            <w:hideMark/>
          </w:tcPr>
          <w:p w14:paraId="7B1BBBFC" w14:textId="50969CF3" w:rsidR="003978BB" w:rsidRDefault="009D5FBD">
            <w:pPr>
              <w:spacing w:line="240" w:lineRule="auto"/>
              <w:jc w:val="center"/>
              <w:rPr>
                <w:rFonts w:cs="Times New Roman"/>
                <w:sz w:val="20"/>
                <w:szCs w:val="20"/>
              </w:rPr>
            </w:pPr>
            <w:r>
              <w:rPr>
                <w:rFonts w:cs="Times New Roman"/>
                <w:sz w:val="20"/>
                <w:szCs w:val="20"/>
              </w:rPr>
              <w:t>0</w:t>
            </w:r>
          </w:p>
        </w:tc>
        <w:tc>
          <w:tcPr>
            <w:tcW w:w="670" w:type="pct"/>
            <w:tcBorders>
              <w:top w:val="single" w:sz="4" w:space="0" w:color="auto"/>
              <w:left w:val="single" w:sz="4" w:space="0" w:color="auto"/>
              <w:bottom w:val="single" w:sz="4" w:space="0" w:color="auto"/>
              <w:right w:val="single" w:sz="4" w:space="0" w:color="auto"/>
            </w:tcBorders>
            <w:vAlign w:val="bottom"/>
            <w:hideMark/>
          </w:tcPr>
          <w:p w14:paraId="72079FCA" w14:textId="2C9AFC33" w:rsidR="003978BB" w:rsidRDefault="00B0279D">
            <w:pPr>
              <w:spacing w:line="240" w:lineRule="auto"/>
              <w:jc w:val="center"/>
              <w:rPr>
                <w:rFonts w:cs="Times New Roman"/>
                <w:sz w:val="20"/>
                <w:szCs w:val="20"/>
              </w:rPr>
            </w:pPr>
            <w:r>
              <w:rPr>
                <w:rFonts w:cs="Times New Roman"/>
                <w:sz w:val="20"/>
                <w:szCs w:val="20"/>
              </w:rPr>
              <w:t>0.0</w:t>
            </w:r>
          </w:p>
        </w:tc>
        <w:tc>
          <w:tcPr>
            <w:tcW w:w="670" w:type="pct"/>
            <w:tcBorders>
              <w:top w:val="single" w:sz="4" w:space="0" w:color="auto"/>
              <w:left w:val="single" w:sz="4" w:space="0" w:color="auto"/>
              <w:bottom w:val="single" w:sz="4" w:space="0" w:color="auto"/>
              <w:right w:val="single" w:sz="4" w:space="0" w:color="auto"/>
            </w:tcBorders>
            <w:vAlign w:val="bottom"/>
            <w:hideMark/>
          </w:tcPr>
          <w:p w14:paraId="298A024B" w14:textId="74F29181" w:rsidR="003978BB" w:rsidRDefault="009D5FBD">
            <w:pPr>
              <w:spacing w:line="240" w:lineRule="auto"/>
              <w:jc w:val="center"/>
              <w:rPr>
                <w:rFonts w:cs="Times New Roman"/>
                <w:sz w:val="20"/>
                <w:szCs w:val="20"/>
              </w:rPr>
            </w:pPr>
            <w:r>
              <w:rPr>
                <w:rFonts w:cs="Times New Roman"/>
                <w:sz w:val="20"/>
                <w:szCs w:val="20"/>
              </w:rPr>
              <w:t>33.36</w:t>
            </w:r>
          </w:p>
        </w:tc>
        <w:tc>
          <w:tcPr>
            <w:tcW w:w="670" w:type="pct"/>
            <w:tcBorders>
              <w:top w:val="single" w:sz="4" w:space="0" w:color="auto"/>
              <w:left w:val="single" w:sz="4" w:space="0" w:color="auto"/>
              <w:bottom w:val="single" w:sz="4" w:space="0" w:color="auto"/>
              <w:right w:val="double" w:sz="4" w:space="0" w:color="auto"/>
            </w:tcBorders>
            <w:vAlign w:val="bottom"/>
            <w:hideMark/>
          </w:tcPr>
          <w:p w14:paraId="2E86BF1B" w14:textId="4140BB41" w:rsidR="003978BB" w:rsidRDefault="009D5FBD">
            <w:pPr>
              <w:spacing w:line="240" w:lineRule="auto"/>
              <w:jc w:val="center"/>
              <w:rPr>
                <w:rFonts w:cs="Times New Roman"/>
                <w:sz w:val="20"/>
                <w:szCs w:val="20"/>
              </w:rPr>
            </w:pPr>
            <w:r>
              <w:rPr>
                <w:rFonts w:cs="Times New Roman"/>
                <w:sz w:val="20"/>
                <w:szCs w:val="20"/>
              </w:rPr>
              <w:t>48.58</w:t>
            </w:r>
          </w:p>
        </w:tc>
      </w:tr>
      <w:tr w:rsidR="003978BB" w14:paraId="6FA37F1D" w14:textId="77777777" w:rsidTr="003978BB">
        <w:trPr>
          <w:trHeight w:val="288"/>
        </w:trPr>
        <w:tc>
          <w:tcPr>
            <w:tcW w:w="2320" w:type="pct"/>
            <w:tcBorders>
              <w:top w:val="single" w:sz="6" w:space="0" w:color="000000"/>
              <w:left w:val="double" w:sz="6" w:space="0" w:color="000000"/>
              <w:bottom w:val="single" w:sz="6" w:space="0" w:color="000000"/>
              <w:right w:val="single" w:sz="4" w:space="0" w:color="auto"/>
            </w:tcBorders>
            <w:vAlign w:val="center"/>
            <w:hideMark/>
          </w:tcPr>
          <w:p w14:paraId="7172AF63" w14:textId="77777777" w:rsidR="003978BB" w:rsidRDefault="003978BB">
            <w:pPr>
              <w:spacing w:line="240" w:lineRule="auto"/>
              <w:jc w:val="center"/>
              <w:rPr>
                <w:rFonts w:cs="Times New Roman"/>
                <w:sz w:val="20"/>
                <w:szCs w:val="20"/>
              </w:rPr>
            </w:pPr>
            <w:r>
              <w:rPr>
                <w:rFonts w:cs="Times New Roman"/>
                <w:sz w:val="20"/>
                <w:szCs w:val="20"/>
              </w:rPr>
              <w:t>Particulate Matter ≤ 2.5 microns (PM</w:t>
            </w:r>
            <w:r>
              <w:rPr>
                <w:rFonts w:cs="Times New Roman"/>
                <w:sz w:val="20"/>
                <w:szCs w:val="20"/>
                <w:vertAlign w:val="subscript"/>
              </w:rPr>
              <w:t>2.5</w:t>
            </w:r>
            <w:r>
              <w:rPr>
                <w:rFonts w:cs="Times New Roman"/>
                <w:sz w:val="20"/>
                <w:szCs w:val="20"/>
              </w:rPr>
              <w:t>)</w:t>
            </w:r>
          </w:p>
        </w:tc>
        <w:tc>
          <w:tcPr>
            <w:tcW w:w="670" w:type="pct"/>
            <w:tcBorders>
              <w:top w:val="single" w:sz="4" w:space="0" w:color="auto"/>
              <w:left w:val="single" w:sz="4" w:space="0" w:color="auto"/>
              <w:bottom w:val="single" w:sz="4" w:space="0" w:color="auto"/>
              <w:right w:val="single" w:sz="4" w:space="0" w:color="auto"/>
            </w:tcBorders>
            <w:vAlign w:val="bottom"/>
            <w:hideMark/>
          </w:tcPr>
          <w:p w14:paraId="57BF505E" w14:textId="0623E561" w:rsidR="003978BB" w:rsidRDefault="009D5FBD">
            <w:pPr>
              <w:spacing w:line="240" w:lineRule="auto"/>
              <w:jc w:val="center"/>
              <w:rPr>
                <w:rFonts w:cs="Times New Roman"/>
                <w:sz w:val="20"/>
                <w:szCs w:val="20"/>
              </w:rPr>
            </w:pPr>
            <w:r>
              <w:rPr>
                <w:rFonts w:cs="Times New Roman"/>
                <w:sz w:val="20"/>
                <w:szCs w:val="20"/>
              </w:rPr>
              <w:t>0</w:t>
            </w:r>
          </w:p>
        </w:tc>
        <w:tc>
          <w:tcPr>
            <w:tcW w:w="670" w:type="pct"/>
            <w:tcBorders>
              <w:top w:val="single" w:sz="4" w:space="0" w:color="auto"/>
              <w:left w:val="single" w:sz="4" w:space="0" w:color="auto"/>
              <w:bottom w:val="single" w:sz="4" w:space="0" w:color="auto"/>
              <w:right w:val="single" w:sz="4" w:space="0" w:color="auto"/>
            </w:tcBorders>
            <w:vAlign w:val="bottom"/>
            <w:hideMark/>
          </w:tcPr>
          <w:p w14:paraId="617B0A2D" w14:textId="712D9321" w:rsidR="003978BB" w:rsidRDefault="00B0279D">
            <w:pPr>
              <w:spacing w:line="240" w:lineRule="auto"/>
              <w:jc w:val="center"/>
              <w:rPr>
                <w:rFonts w:cs="Times New Roman"/>
                <w:sz w:val="20"/>
                <w:szCs w:val="20"/>
              </w:rPr>
            </w:pPr>
            <w:r>
              <w:rPr>
                <w:rFonts w:cs="Times New Roman"/>
                <w:sz w:val="20"/>
                <w:szCs w:val="20"/>
              </w:rPr>
              <w:t>0.0</w:t>
            </w:r>
          </w:p>
        </w:tc>
        <w:tc>
          <w:tcPr>
            <w:tcW w:w="670" w:type="pct"/>
            <w:tcBorders>
              <w:top w:val="single" w:sz="4" w:space="0" w:color="auto"/>
              <w:left w:val="single" w:sz="4" w:space="0" w:color="auto"/>
              <w:bottom w:val="single" w:sz="4" w:space="0" w:color="auto"/>
              <w:right w:val="single" w:sz="4" w:space="0" w:color="auto"/>
            </w:tcBorders>
            <w:vAlign w:val="bottom"/>
            <w:hideMark/>
          </w:tcPr>
          <w:p w14:paraId="48424CFE" w14:textId="374E6D41" w:rsidR="003978BB" w:rsidRDefault="009D5FBD">
            <w:pPr>
              <w:spacing w:line="240" w:lineRule="auto"/>
              <w:jc w:val="center"/>
              <w:rPr>
                <w:rFonts w:cs="Times New Roman"/>
                <w:sz w:val="20"/>
                <w:szCs w:val="20"/>
              </w:rPr>
            </w:pPr>
            <w:r>
              <w:rPr>
                <w:rFonts w:cs="Times New Roman"/>
                <w:color w:val="000000"/>
                <w:sz w:val="20"/>
                <w:szCs w:val="20"/>
              </w:rPr>
              <w:t>17.88</w:t>
            </w:r>
          </w:p>
        </w:tc>
        <w:tc>
          <w:tcPr>
            <w:tcW w:w="670" w:type="pct"/>
            <w:tcBorders>
              <w:top w:val="single" w:sz="4" w:space="0" w:color="auto"/>
              <w:left w:val="single" w:sz="4" w:space="0" w:color="auto"/>
              <w:bottom w:val="single" w:sz="4" w:space="0" w:color="auto"/>
              <w:right w:val="double" w:sz="4" w:space="0" w:color="auto"/>
            </w:tcBorders>
            <w:vAlign w:val="bottom"/>
            <w:hideMark/>
          </w:tcPr>
          <w:p w14:paraId="329094A6" w14:textId="282BBC53" w:rsidR="003978BB" w:rsidRDefault="009D5FBD">
            <w:pPr>
              <w:spacing w:line="240" w:lineRule="auto"/>
              <w:jc w:val="center"/>
              <w:rPr>
                <w:rFonts w:cs="Times New Roman"/>
                <w:sz w:val="20"/>
                <w:szCs w:val="20"/>
              </w:rPr>
            </w:pPr>
            <w:r>
              <w:rPr>
                <w:rFonts w:cs="Times New Roman"/>
                <w:sz w:val="20"/>
                <w:szCs w:val="20"/>
              </w:rPr>
              <w:t>26.03</w:t>
            </w:r>
          </w:p>
        </w:tc>
      </w:tr>
      <w:tr w:rsidR="003978BB" w14:paraId="387C5370" w14:textId="77777777" w:rsidTr="003978BB">
        <w:trPr>
          <w:trHeight w:val="288"/>
        </w:trPr>
        <w:tc>
          <w:tcPr>
            <w:tcW w:w="2320" w:type="pct"/>
            <w:tcBorders>
              <w:top w:val="single" w:sz="6" w:space="0" w:color="000000"/>
              <w:left w:val="double" w:sz="6" w:space="0" w:color="000000"/>
              <w:bottom w:val="double" w:sz="6" w:space="0" w:color="000000"/>
              <w:right w:val="single" w:sz="4" w:space="0" w:color="auto"/>
            </w:tcBorders>
            <w:vAlign w:val="center"/>
            <w:hideMark/>
          </w:tcPr>
          <w:p w14:paraId="6E50816E" w14:textId="77777777" w:rsidR="003978BB" w:rsidRDefault="003978BB">
            <w:pPr>
              <w:spacing w:line="240" w:lineRule="auto"/>
              <w:jc w:val="center"/>
              <w:rPr>
                <w:rFonts w:cs="Times New Roman"/>
                <w:sz w:val="20"/>
                <w:szCs w:val="20"/>
              </w:rPr>
            </w:pPr>
            <w:r>
              <w:rPr>
                <w:rFonts w:cs="Times New Roman"/>
                <w:sz w:val="20"/>
                <w:szCs w:val="20"/>
              </w:rPr>
              <w:t>Hazardous Air Pollutants (HAP)</w:t>
            </w:r>
          </w:p>
        </w:tc>
        <w:tc>
          <w:tcPr>
            <w:tcW w:w="670" w:type="pct"/>
            <w:tcBorders>
              <w:top w:val="single" w:sz="4" w:space="0" w:color="auto"/>
              <w:left w:val="single" w:sz="4" w:space="0" w:color="auto"/>
              <w:bottom w:val="double" w:sz="4" w:space="0" w:color="auto"/>
              <w:right w:val="single" w:sz="4" w:space="0" w:color="auto"/>
            </w:tcBorders>
            <w:vAlign w:val="bottom"/>
            <w:hideMark/>
          </w:tcPr>
          <w:p w14:paraId="21824995" w14:textId="4986841F" w:rsidR="003978BB" w:rsidRDefault="009D5FBD">
            <w:pPr>
              <w:spacing w:line="240" w:lineRule="auto"/>
              <w:jc w:val="center"/>
              <w:rPr>
                <w:rFonts w:cs="Times New Roman"/>
                <w:sz w:val="20"/>
                <w:szCs w:val="20"/>
              </w:rPr>
            </w:pPr>
            <w:r>
              <w:rPr>
                <w:rFonts w:cs="Times New Roman"/>
                <w:sz w:val="20"/>
                <w:szCs w:val="20"/>
              </w:rPr>
              <w:t>0</w:t>
            </w:r>
          </w:p>
        </w:tc>
        <w:tc>
          <w:tcPr>
            <w:tcW w:w="670" w:type="pct"/>
            <w:tcBorders>
              <w:top w:val="single" w:sz="4" w:space="0" w:color="auto"/>
              <w:left w:val="single" w:sz="4" w:space="0" w:color="auto"/>
              <w:bottom w:val="double" w:sz="4" w:space="0" w:color="auto"/>
              <w:right w:val="single" w:sz="4" w:space="0" w:color="auto"/>
            </w:tcBorders>
            <w:vAlign w:val="bottom"/>
            <w:hideMark/>
          </w:tcPr>
          <w:p w14:paraId="1E4D8CE8" w14:textId="483C50E9" w:rsidR="003978BB" w:rsidRDefault="00B0279D">
            <w:pPr>
              <w:spacing w:line="240" w:lineRule="auto"/>
              <w:jc w:val="center"/>
              <w:rPr>
                <w:rFonts w:cs="Times New Roman"/>
                <w:sz w:val="20"/>
                <w:szCs w:val="20"/>
              </w:rPr>
            </w:pPr>
            <w:r>
              <w:rPr>
                <w:rFonts w:cs="Times New Roman"/>
                <w:sz w:val="20"/>
                <w:szCs w:val="20"/>
              </w:rPr>
              <w:t>0.0</w:t>
            </w:r>
          </w:p>
        </w:tc>
        <w:tc>
          <w:tcPr>
            <w:tcW w:w="670" w:type="pct"/>
            <w:tcBorders>
              <w:top w:val="single" w:sz="4" w:space="0" w:color="auto"/>
              <w:left w:val="single" w:sz="4" w:space="0" w:color="auto"/>
              <w:bottom w:val="double" w:sz="4" w:space="0" w:color="auto"/>
              <w:right w:val="single" w:sz="4" w:space="0" w:color="auto"/>
            </w:tcBorders>
            <w:vAlign w:val="bottom"/>
            <w:hideMark/>
          </w:tcPr>
          <w:p w14:paraId="20236777" w14:textId="253B89D2" w:rsidR="003978BB" w:rsidRDefault="00463D04">
            <w:pPr>
              <w:spacing w:line="240" w:lineRule="auto"/>
              <w:jc w:val="center"/>
              <w:rPr>
                <w:rFonts w:cs="Times New Roman"/>
                <w:sz w:val="20"/>
                <w:szCs w:val="20"/>
              </w:rPr>
            </w:pPr>
            <w:r>
              <w:rPr>
                <w:rFonts w:cs="Times New Roman"/>
                <w:sz w:val="20"/>
                <w:szCs w:val="20"/>
              </w:rPr>
              <w:t>13.20</w:t>
            </w:r>
          </w:p>
        </w:tc>
        <w:tc>
          <w:tcPr>
            <w:tcW w:w="670" w:type="pct"/>
            <w:tcBorders>
              <w:top w:val="single" w:sz="4" w:space="0" w:color="auto"/>
              <w:left w:val="single" w:sz="4" w:space="0" w:color="auto"/>
              <w:bottom w:val="double" w:sz="4" w:space="0" w:color="auto"/>
              <w:right w:val="double" w:sz="4" w:space="0" w:color="auto"/>
            </w:tcBorders>
            <w:vAlign w:val="bottom"/>
            <w:hideMark/>
          </w:tcPr>
          <w:p w14:paraId="09450924" w14:textId="216437EA" w:rsidR="003978BB" w:rsidRDefault="00463D04">
            <w:pPr>
              <w:spacing w:line="240" w:lineRule="auto"/>
              <w:jc w:val="center"/>
              <w:rPr>
                <w:rFonts w:cs="Times New Roman"/>
                <w:sz w:val="20"/>
                <w:szCs w:val="20"/>
              </w:rPr>
            </w:pPr>
            <w:r>
              <w:rPr>
                <w:rFonts w:cs="Times New Roman"/>
                <w:sz w:val="20"/>
                <w:szCs w:val="20"/>
              </w:rPr>
              <w:t>50.65</w:t>
            </w:r>
          </w:p>
        </w:tc>
      </w:tr>
    </w:tbl>
    <w:p w14:paraId="5A11C66A" w14:textId="29920D52" w:rsidR="009D2708" w:rsidRPr="009D2708" w:rsidRDefault="009D2708" w:rsidP="00A678E6">
      <w:pPr>
        <w:ind w:left="270" w:hanging="90"/>
        <w:rPr>
          <w:i/>
          <w:sz w:val="20"/>
        </w:rPr>
      </w:pPr>
      <w:r w:rsidRPr="00A678E6">
        <w:rPr>
          <w:i/>
          <w:sz w:val="20"/>
          <w:vertAlign w:val="superscript"/>
        </w:rPr>
        <w:t>1</w:t>
      </w:r>
      <w:r w:rsidRPr="009D2708">
        <w:rPr>
          <w:i/>
          <w:sz w:val="20"/>
        </w:rPr>
        <w:t>The proposed emission</w:t>
      </w:r>
      <w:r w:rsidR="00C23B15">
        <w:rPr>
          <w:i/>
          <w:sz w:val="20"/>
        </w:rPr>
        <w:t>s</w:t>
      </w:r>
      <w:r w:rsidRPr="009D2708">
        <w:rPr>
          <w:i/>
          <w:sz w:val="20"/>
        </w:rPr>
        <w:t xml:space="preserve"> in this notice </w:t>
      </w:r>
      <w:r w:rsidR="00C23B15">
        <w:rPr>
          <w:i/>
          <w:sz w:val="20"/>
        </w:rPr>
        <w:t>are provided by the applicant and are subject to</w:t>
      </w:r>
      <w:r w:rsidRPr="009D2708">
        <w:rPr>
          <w:i/>
          <w:sz w:val="20"/>
        </w:rPr>
        <w:t xml:space="preserve"> change during the course of the Program’s review of the application.</w:t>
      </w:r>
    </w:p>
    <w:p w14:paraId="76F5A5EC" w14:textId="77777777" w:rsidR="009D2708" w:rsidRDefault="009D2708" w:rsidP="009D2708"/>
    <w:p w14:paraId="54F20626" w14:textId="3072C3DF" w:rsidR="009D2708" w:rsidRDefault="009D2708" w:rsidP="00FA4065">
      <w:pPr>
        <w:jc w:val="both"/>
      </w:pPr>
      <w:r>
        <w:t>A copy of the permit application, all supporting documentation, and the Program’s technical analysis, if and when it is completed, may be inspected by the public at the Program offices at Room 30</w:t>
      </w:r>
      <w:r w:rsidR="00A678E6">
        <w:t>23</w:t>
      </w:r>
      <w:r>
        <w:t>, One Civic Plaza NW, Albuquerque, NM.  Any person who wishes to receive notice of the availability of the Program’s technical analysis for review and comment, must expressly request notice in writing to the Program at: Albuquerque Environmental Health Department, Air Quality Program – Permitting Section P.O. Box 1293, Albuquerque, New Mexico 87103 before the end of the public comment period o</w:t>
      </w:r>
      <w:r w:rsidR="003F7EA5">
        <w:t>n</w:t>
      </w:r>
      <w:r w:rsidR="009D4461">
        <w:t xml:space="preserve"> November </w:t>
      </w:r>
      <w:r w:rsidR="00EF058A">
        <w:t>3</w:t>
      </w:r>
      <w:r w:rsidR="00BE67F9" w:rsidRPr="00904718">
        <w:t>, 2023</w:t>
      </w:r>
      <w:r w:rsidR="00BE67F9">
        <w:t xml:space="preserve">. </w:t>
      </w:r>
      <w:r>
        <w:t xml:space="preserve">The public will have no fewer than 30 days to submit written comments and evidence, request a public information hearing, or both on the permit application to the Program. Comments will be accepted and considered if postmarked by the end of the public comment period. Formal action on the application will be reserved pending receipt and analysis of any additional details or information developed during the public comment period. Any person who does not participate in the permitting action will not receive </w:t>
      </w:r>
      <w:r>
        <w:lastRenderedPageBreak/>
        <w:t xml:space="preserve">notification of the Program’s decision regarding the proposed permit, unless the person has delivered a written request for notice to the department. The application, all supporting documentation, and the public notice are available online at </w:t>
      </w:r>
      <w:hyperlink r:id="rId6" w:history="1">
        <w:r w:rsidRPr="004E58AD">
          <w:rPr>
            <w:rStyle w:val="Hyperlink"/>
          </w:rPr>
          <w:t>http://www.cabq.gov/airquality/air-quality-permits</w:t>
        </w:r>
      </w:hyperlink>
      <w:r>
        <w:t xml:space="preserve">.  </w:t>
      </w:r>
    </w:p>
    <w:p w14:paraId="63E2C8A1" w14:textId="77777777" w:rsidR="009D2708" w:rsidRDefault="009D2708" w:rsidP="00FA4065">
      <w:pPr>
        <w:jc w:val="both"/>
      </w:pPr>
    </w:p>
    <w:p w14:paraId="0E37A6C0" w14:textId="77777777" w:rsidR="009D2708" w:rsidRDefault="009D2708" w:rsidP="00FA4065">
      <w:pPr>
        <w:jc w:val="both"/>
      </w:pPr>
      <w:r>
        <w:t>The Program shall hold a Public Information Hearing pursuant to 20.11.41.15 NMAC if the Director determines there is significant public interest and a significant air quality issue is involved.</w:t>
      </w:r>
    </w:p>
    <w:p w14:paraId="0804DA90" w14:textId="77777777" w:rsidR="009D2708" w:rsidRDefault="009D2708" w:rsidP="00FA4065">
      <w:pPr>
        <w:jc w:val="both"/>
      </w:pPr>
    </w:p>
    <w:p w14:paraId="3D416C60" w14:textId="40FDAE20" w:rsidR="009D2708" w:rsidRDefault="009D2708" w:rsidP="00FA4065">
      <w:pPr>
        <w:jc w:val="both"/>
      </w:pPr>
      <w:r>
        <w:t xml:space="preserve">The Program expects to issue, issue subject to conditions, or deny this application before </w:t>
      </w:r>
      <w:r w:rsidR="009D4461">
        <w:t xml:space="preserve">January </w:t>
      </w:r>
      <w:r w:rsidR="00EF058A">
        <w:t>3</w:t>
      </w:r>
      <w:r w:rsidR="00285D68">
        <w:t>, 202</w:t>
      </w:r>
      <w:r w:rsidR="009D4461">
        <w:t>4</w:t>
      </w:r>
      <w:r w:rsidR="00285D68">
        <w:t>.</w:t>
      </w:r>
      <w:r>
        <w:t xml:space="preserve"> </w:t>
      </w:r>
      <w:r w:rsidRPr="004D0DB8">
        <w:t xml:space="preserve">The Program will not issue any air quality permit with or without conditions unless an air quality ambient impact dispersion modeling study, if deemed necessary by the Program, shows that the facility would not cause or contribute to a potential violation of air quality standards. </w:t>
      </w:r>
      <w:r>
        <w:t>If the Program issues the permit with conditions, the conditions will include those that limit the emissions, and conditions that will require recordkeeping and reporting to the Program to ensure compliance with federal and local air regulations.</w:t>
      </w:r>
    </w:p>
    <w:p w14:paraId="11E78335" w14:textId="77777777" w:rsidR="009D2708" w:rsidRDefault="009D2708" w:rsidP="00FA4065">
      <w:pPr>
        <w:jc w:val="both"/>
      </w:pPr>
    </w:p>
    <w:p w14:paraId="79A1440B" w14:textId="77777777" w:rsidR="009D2708" w:rsidRDefault="009D2708" w:rsidP="00FA4065">
      <w:pPr>
        <w:jc w:val="both"/>
      </w:pPr>
      <w:r>
        <w:t>The Program’s offices are located at One Civic Plaza NW, Room 30</w:t>
      </w:r>
      <w:r w:rsidR="00A678E6">
        <w:t>23</w:t>
      </w:r>
      <w:r>
        <w:t>, Albuquerque, NM 87102. The Program’s mailing address is Albuquerque Environmental Health Department, Air Quality Program – Permitting Section, PO Box 1293, Albuquerque, NM 87103.</w:t>
      </w:r>
    </w:p>
    <w:p w14:paraId="3ABC5840" w14:textId="77777777" w:rsidR="009D2708" w:rsidRDefault="009D2708" w:rsidP="00FA4065">
      <w:pPr>
        <w:jc w:val="both"/>
      </w:pPr>
    </w:p>
    <w:p w14:paraId="66926BA2" w14:textId="7AE11787" w:rsidR="009D2708" w:rsidRDefault="009D2708" w:rsidP="00FA4065">
      <w:pPr>
        <w:jc w:val="both"/>
      </w:pPr>
      <w:r>
        <w:t xml:space="preserve">For more information, contact </w:t>
      </w:r>
      <w:r w:rsidR="00285D68">
        <w:t>Barbara Georgitsis, Sr. Environmental Health Scientist, 505-767-5625 or bgeorgitsis@cabq.gov.</w:t>
      </w:r>
    </w:p>
    <w:p w14:paraId="76E21B36" w14:textId="77777777" w:rsidR="009D2708" w:rsidRDefault="009D2708" w:rsidP="00FA4065">
      <w:pPr>
        <w:jc w:val="both"/>
      </w:pPr>
    </w:p>
    <w:p w14:paraId="5B3AE7F1" w14:textId="7A043BC4" w:rsidR="009D2708" w:rsidRDefault="009D2708" w:rsidP="00FA4065">
      <w:pPr>
        <w:jc w:val="both"/>
      </w:pPr>
      <w:r w:rsidRPr="009D2708">
        <w:rPr>
          <w:u w:val="single"/>
        </w:rPr>
        <w:t>NOTICE OF NONDISCRIMINATION AND ASSISTANCE FOR PERSONS WITH DISABILITIES OR SPECIAL NEEDS</w:t>
      </w:r>
      <w:r>
        <w:t xml:space="preserve">: The City of Albuquerque does not discriminate on the basis of race, color, national origin, age, disability, religion, ancestry, sexual orientation, gender identity, spousal affiliation or sex.  If you believe you have been discriminated against, you may submit a complaint at </w:t>
      </w:r>
      <w:hyperlink r:id="rId7" w:history="1">
        <w:r w:rsidR="006342E2" w:rsidRPr="00633C3F">
          <w:rPr>
            <w:rStyle w:val="Hyperlink"/>
          </w:rPr>
          <w:t>https://www.cabq.gov/civilrights</w:t>
        </w:r>
      </w:hyperlink>
      <w:r>
        <w:t>.  You may also contac</w:t>
      </w:r>
      <w:r w:rsidR="004D2258">
        <w:t xml:space="preserve">t </w:t>
      </w:r>
      <w:r w:rsidR="004D2258" w:rsidRPr="003A75E7">
        <w:rPr>
          <w:b/>
        </w:rPr>
        <w:t>Amanda Trujillo</w:t>
      </w:r>
      <w:r w:rsidR="00994E43" w:rsidRPr="00285D68">
        <w:rPr>
          <w:b/>
        </w:rPr>
        <w:t xml:space="preserve">, </w:t>
      </w:r>
      <w:r w:rsidR="003A75E7">
        <w:rPr>
          <w:b/>
        </w:rPr>
        <w:t>Executive Assistant, General Services Division</w:t>
      </w:r>
      <w:r w:rsidR="006342E2">
        <w:t xml:space="preserve"> at </w:t>
      </w:r>
      <w:hyperlink r:id="rId8" w:history="1">
        <w:r w:rsidR="003A75E7" w:rsidRPr="00216A3C">
          <w:rPr>
            <w:rStyle w:val="Hyperlink"/>
          </w:rPr>
          <w:t>amandatrujillo@cabq.gov</w:t>
        </w:r>
      </w:hyperlink>
      <w:r w:rsidR="006342E2">
        <w:t>.</w:t>
      </w:r>
    </w:p>
    <w:p w14:paraId="7DE0F62B" w14:textId="77777777" w:rsidR="009D2708" w:rsidRDefault="009D2708" w:rsidP="00FA4065">
      <w:pPr>
        <w:jc w:val="both"/>
      </w:pPr>
    </w:p>
    <w:p w14:paraId="3A50C5DC" w14:textId="2D4ADFA9" w:rsidR="009D2708" w:rsidRDefault="009D2708" w:rsidP="00FA4065">
      <w:pPr>
        <w:jc w:val="both"/>
      </w:pPr>
      <w:r>
        <w:t xml:space="preserve">If you have a disability and require special assistance to participate, please contact </w:t>
      </w:r>
      <w:r w:rsidR="00285D68">
        <w:t xml:space="preserve">Barbara Georgitsis at 505-767-5625 </w:t>
      </w:r>
      <w:r>
        <w:t>as soon as possible before the deadline.  Those in need of hearing assistance may call 711.</w:t>
      </w:r>
    </w:p>
    <w:p w14:paraId="2A5073DF" w14:textId="77777777" w:rsidR="001A7CA0" w:rsidRDefault="001A7CA0" w:rsidP="00FA4065">
      <w:pPr>
        <w:jc w:val="both"/>
      </w:pPr>
    </w:p>
    <w:p w14:paraId="6B79E962" w14:textId="77777777" w:rsidR="001A7CA0" w:rsidRDefault="001A7CA0" w:rsidP="00FA4065">
      <w:pPr>
        <w:jc w:val="both"/>
      </w:pPr>
    </w:p>
    <w:p w14:paraId="3EFB375C" w14:textId="77777777" w:rsidR="001A7CA0" w:rsidRDefault="001A7CA0" w:rsidP="00FA4065">
      <w:pPr>
        <w:jc w:val="both"/>
      </w:pPr>
    </w:p>
    <w:p w14:paraId="4687877C" w14:textId="77777777" w:rsidR="001A7CA0" w:rsidRDefault="001A7CA0" w:rsidP="00FA4065">
      <w:pPr>
        <w:jc w:val="both"/>
      </w:pPr>
    </w:p>
    <w:p w14:paraId="58656953" w14:textId="77777777" w:rsidR="001A7CA0" w:rsidRDefault="001A7CA0" w:rsidP="00FA4065">
      <w:pPr>
        <w:jc w:val="both"/>
      </w:pPr>
    </w:p>
    <w:p w14:paraId="458687B8" w14:textId="77777777" w:rsidR="001A7CA0" w:rsidRDefault="001A7CA0" w:rsidP="00FA4065">
      <w:pPr>
        <w:jc w:val="both"/>
      </w:pPr>
    </w:p>
    <w:p w14:paraId="55116D44" w14:textId="77777777" w:rsidR="001A7CA0" w:rsidRDefault="001A7CA0" w:rsidP="00FA4065">
      <w:pPr>
        <w:jc w:val="both"/>
      </w:pPr>
    </w:p>
    <w:p w14:paraId="1899B83A" w14:textId="77777777" w:rsidR="001A7CA0" w:rsidRDefault="001A7CA0" w:rsidP="00FA4065">
      <w:pPr>
        <w:jc w:val="both"/>
      </w:pPr>
    </w:p>
    <w:p w14:paraId="5C3D3979" w14:textId="77777777" w:rsidR="001A7CA0" w:rsidRDefault="001A7CA0" w:rsidP="00FA4065">
      <w:pPr>
        <w:jc w:val="both"/>
      </w:pPr>
    </w:p>
    <w:p w14:paraId="33D2BDD6" w14:textId="77777777" w:rsidR="001A7CA0" w:rsidRDefault="001A7CA0" w:rsidP="00FA4065">
      <w:pPr>
        <w:jc w:val="both"/>
      </w:pPr>
    </w:p>
    <w:p w14:paraId="36C97D48" w14:textId="77777777" w:rsidR="001A7CA0" w:rsidRDefault="001A7CA0" w:rsidP="00FA4065">
      <w:pPr>
        <w:jc w:val="both"/>
      </w:pPr>
    </w:p>
    <w:p w14:paraId="6AD7F205" w14:textId="77777777" w:rsidR="001A7CA0" w:rsidRDefault="001A7CA0" w:rsidP="00FA4065">
      <w:pPr>
        <w:jc w:val="both"/>
      </w:pPr>
    </w:p>
    <w:p w14:paraId="796C92DD" w14:textId="77777777" w:rsidR="001A7CA0" w:rsidRDefault="001A7CA0" w:rsidP="00FA4065">
      <w:pPr>
        <w:jc w:val="both"/>
      </w:pPr>
    </w:p>
    <w:p w14:paraId="554B1B99" w14:textId="77777777" w:rsidR="001A7CA0" w:rsidRDefault="001A7CA0" w:rsidP="00FA4065">
      <w:pPr>
        <w:jc w:val="both"/>
      </w:pPr>
    </w:p>
    <w:sectPr w:rsidR="001A7CA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BDFC6" w14:textId="77777777" w:rsidR="001A7CA0" w:rsidRDefault="001A7CA0" w:rsidP="001A7CA0">
      <w:pPr>
        <w:spacing w:line="240" w:lineRule="auto"/>
      </w:pPr>
      <w:r>
        <w:separator/>
      </w:r>
    </w:p>
  </w:endnote>
  <w:endnote w:type="continuationSeparator" w:id="0">
    <w:p w14:paraId="0A2473C9" w14:textId="77777777" w:rsidR="001A7CA0" w:rsidRDefault="001A7CA0" w:rsidP="001A7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FC6F6" w14:textId="77777777" w:rsidR="001A7CA0" w:rsidRDefault="001A7CA0">
    <w:pPr>
      <w:pStyle w:val="Footer"/>
    </w:pPr>
  </w:p>
  <w:p w14:paraId="0D72C442" w14:textId="77777777" w:rsidR="001A7CA0" w:rsidRDefault="001A7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F5B08" w14:textId="77777777" w:rsidR="001A7CA0" w:rsidRDefault="001A7CA0" w:rsidP="001A7CA0">
      <w:pPr>
        <w:spacing w:line="240" w:lineRule="auto"/>
      </w:pPr>
      <w:r>
        <w:separator/>
      </w:r>
    </w:p>
  </w:footnote>
  <w:footnote w:type="continuationSeparator" w:id="0">
    <w:p w14:paraId="76481A9F" w14:textId="77777777" w:rsidR="001A7CA0" w:rsidRDefault="001A7CA0" w:rsidP="001A7C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08"/>
    <w:rsid w:val="000164A7"/>
    <w:rsid w:val="00022095"/>
    <w:rsid w:val="00056162"/>
    <w:rsid w:val="0006370E"/>
    <w:rsid w:val="00087D37"/>
    <w:rsid w:val="000963C8"/>
    <w:rsid w:val="000B41E1"/>
    <w:rsid w:val="00101029"/>
    <w:rsid w:val="00110C19"/>
    <w:rsid w:val="0011148C"/>
    <w:rsid w:val="001A7CA0"/>
    <w:rsid w:val="0024657B"/>
    <w:rsid w:val="00251B1B"/>
    <w:rsid w:val="00253490"/>
    <w:rsid w:val="00285D68"/>
    <w:rsid w:val="002B5B98"/>
    <w:rsid w:val="00321BBD"/>
    <w:rsid w:val="00353ACB"/>
    <w:rsid w:val="00387195"/>
    <w:rsid w:val="003978BB"/>
    <w:rsid w:val="003A75E7"/>
    <w:rsid w:val="003F7EA5"/>
    <w:rsid w:val="0042144D"/>
    <w:rsid w:val="00426788"/>
    <w:rsid w:val="00460CEF"/>
    <w:rsid w:val="00463D04"/>
    <w:rsid w:val="00472B5F"/>
    <w:rsid w:val="00483544"/>
    <w:rsid w:val="004A6A76"/>
    <w:rsid w:val="004D0DB8"/>
    <w:rsid w:val="004D2258"/>
    <w:rsid w:val="004F075C"/>
    <w:rsid w:val="00565A60"/>
    <w:rsid w:val="005A40BB"/>
    <w:rsid w:val="005C332C"/>
    <w:rsid w:val="005F65FC"/>
    <w:rsid w:val="006342E2"/>
    <w:rsid w:val="006764B7"/>
    <w:rsid w:val="006D27AE"/>
    <w:rsid w:val="006D28B0"/>
    <w:rsid w:val="00770212"/>
    <w:rsid w:val="007E17CE"/>
    <w:rsid w:val="00834E45"/>
    <w:rsid w:val="0083587E"/>
    <w:rsid w:val="00880EB1"/>
    <w:rsid w:val="008E320D"/>
    <w:rsid w:val="008E372C"/>
    <w:rsid w:val="00904718"/>
    <w:rsid w:val="00962F08"/>
    <w:rsid w:val="00970647"/>
    <w:rsid w:val="00994E43"/>
    <w:rsid w:val="009D1773"/>
    <w:rsid w:val="009D2708"/>
    <w:rsid w:val="009D4461"/>
    <w:rsid w:val="009D5FBD"/>
    <w:rsid w:val="00A35846"/>
    <w:rsid w:val="00A678E6"/>
    <w:rsid w:val="00B0279D"/>
    <w:rsid w:val="00B41B03"/>
    <w:rsid w:val="00B43A43"/>
    <w:rsid w:val="00B45362"/>
    <w:rsid w:val="00B46ED5"/>
    <w:rsid w:val="00B86644"/>
    <w:rsid w:val="00BE67F9"/>
    <w:rsid w:val="00C04323"/>
    <w:rsid w:val="00C23B15"/>
    <w:rsid w:val="00C44BED"/>
    <w:rsid w:val="00C55FB8"/>
    <w:rsid w:val="00C71852"/>
    <w:rsid w:val="00C77093"/>
    <w:rsid w:val="00C80BA2"/>
    <w:rsid w:val="00CC27DB"/>
    <w:rsid w:val="00D16367"/>
    <w:rsid w:val="00D17633"/>
    <w:rsid w:val="00D47619"/>
    <w:rsid w:val="00D66A42"/>
    <w:rsid w:val="00D84B5C"/>
    <w:rsid w:val="00DA0776"/>
    <w:rsid w:val="00DC54BC"/>
    <w:rsid w:val="00DF5E54"/>
    <w:rsid w:val="00EF058A"/>
    <w:rsid w:val="00F15AD8"/>
    <w:rsid w:val="00F347AC"/>
    <w:rsid w:val="00F90F7E"/>
    <w:rsid w:val="00FA4065"/>
    <w:rsid w:val="00FF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751F"/>
  <w15:chartTrackingRefBased/>
  <w15:docId w15:val="{7CFBB9CC-DB14-450E-87B1-CDB7B089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ED5"/>
    <w:pPr>
      <w:spacing w:after="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708"/>
    <w:rPr>
      <w:color w:val="0563C1" w:themeColor="hyperlink"/>
      <w:u w:val="single"/>
    </w:rPr>
  </w:style>
  <w:style w:type="character" w:customStyle="1" w:styleId="UnresolvedMention1">
    <w:name w:val="Unresolved Mention1"/>
    <w:basedOn w:val="DefaultParagraphFont"/>
    <w:uiPriority w:val="99"/>
    <w:semiHidden/>
    <w:unhideWhenUsed/>
    <w:rsid w:val="009D2708"/>
    <w:rPr>
      <w:color w:val="605E5C"/>
      <w:shd w:val="clear" w:color="auto" w:fill="E1DFDD"/>
    </w:rPr>
  </w:style>
  <w:style w:type="character" w:styleId="CommentReference">
    <w:name w:val="annotation reference"/>
    <w:basedOn w:val="DefaultParagraphFont"/>
    <w:uiPriority w:val="99"/>
    <w:semiHidden/>
    <w:unhideWhenUsed/>
    <w:rsid w:val="006764B7"/>
    <w:rPr>
      <w:sz w:val="16"/>
      <w:szCs w:val="16"/>
    </w:rPr>
  </w:style>
  <w:style w:type="paragraph" w:styleId="CommentText">
    <w:name w:val="annotation text"/>
    <w:basedOn w:val="Normal"/>
    <w:link w:val="CommentTextChar"/>
    <w:uiPriority w:val="99"/>
    <w:semiHidden/>
    <w:unhideWhenUsed/>
    <w:rsid w:val="006764B7"/>
    <w:pPr>
      <w:spacing w:line="240" w:lineRule="auto"/>
    </w:pPr>
    <w:rPr>
      <w:sz w:val="20"/>
      <w:szCs w:val="20"/>
    </w:rPr>
  </w:style>
  <w:style w:type="character" w:customStyle="1" w:styleId="CommentTextChar">
    <w:name w:val="Comment Text Char"/>
    <w:basedOn w:val="DefaultParagraphFont"/>
    <w:link w:val="CommentText"/>
    <w:uiPriority w:val="99"/>
    <w:semiHidden/>
    <w:rsid w:val="006764B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764B7"/>
    <w:rPr>
      <w:b/>
      <w:bCs/>
    </w:rPr>
  </w:style>
  <w:style w:type="character" w:customStyle="1" w:styleId="CommentSubjectChar">
    <w:name w:val="Comment Subject Char"/>
    <w:basedOn w:val="CommentTextChar"/>
    <w:link w:val="CommentSubject"/>
    <w:uiPriority w:val="99"/>
    <w:semiHidden/>
    <w:rsid w:val="006764B7"/>
    <w:rPr>
      <w:rFonts w:ascii="Times New Roman" w:hAnsi="Times New Roman"/>
      <w:b/>
      <w:bCs/>
      <w:sz w:val="20"/>
      <w:szCs w:val="20"/>
    </w:rPr>
  </w:style>
  <w:style w:type="paragraph" w:styleId="BalloonText">
    <w:name w:val="Balloon Text"/>
    <w:basedOn w:val="Normal"/>
    <w:link w:val="BalloonTextChar"/>
    <w:uiPriority w:val="99"/>
    <w:semiHidden/>
    <w:unhideWhenUsed/>
    <w:rsid w:val="006764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4B7"/>
    <w:rPr>
      <w:rFonts w:ascii="Segoe UI" w:hAnsi="Segoe UI" w:cs="Segoe UI"/>
      <w:sz w:val="18"/>
      <w:szCs w:val="18"/>
    </w:rPr>
  </w:style>
  <w:style w:type="paragraph" w:styleId="Header">
    <w:name w:val="header"/>
    <w:basedOn w:val="Normal"/>
    <w:link w:val="HeaderChar"/>
    <w:uiPriority w:val="99"/>
    <w:unhideWhenUsed/>
    <w:rsid w:val="001A7CA0"/>
    <w:pPr>
      <w:tabs>
        <w:tab w:val="center" w:pos="4680"/>
        <w:tab w:val="right" w:pos="9360"/>
      </w:tabs>
      <w:spacing w:line="240" w:lineRule="auto"/>
    </w:pPr>
  </w:style>
  <w:style w:type="character" w:customStyle="1" w:styleId="HeaderChar">
    <w:name w:val="Header Char"/>
    <w:basedOn w:val="DefaultParagraphFont"/>
    <w:link w:val="Header"/>
    <w:uiPriority w:val="99"/>
    <w:rsid w:val="001A7CA0"/>
    <w:rPr>
      <w:rFonts w:ascii="Times New Roman" w:hAnsi="Times New Roman"/>
    </w:rPr>
  </w:style>
  <w:style w:type="paragraph" w:styleId="Footer">
    <w:name w:val="footer"/>
    <w:basedOn w:val="Normal"/>
    <w:link w:val="FooterChar"/>
    <w:uiPriority w:val="99"/>
    <w:unhideWhenUsed/>
    <w:rsid w:val="001A7CA0"/>
    <w:pPr>
      <w:tabs>
        <w:tab w:val="center" w:pos="4680"/>
        <w:tab w:val="right" w:pos="9360"/>
      </w:tabs>
      <w:spacing w:line="240" w:lineRule="auto"/>
    </w:pPr>
  </w:style>
  <w:style w:type="character" w:customStyle="1" w:styleId="FooterChar">
    <w:name w:val="Footer Char"/>
    <w:basedOn w:val="DefaultParagraphFont"/>
    <w:link w:val="Footer"/>
    <w:uiPriority w:val="99"/>
    <w:rsid w:val="001A7CA0"/>
    <w:rPr>
      <w:rFonts w:ascii="Times New Roman" w:hAnsi="Times New Roman"/>
    </w:rPr>
  </w:style>
  <w:style w:type="character" w:styleId="UnresolvedMention">
    <w:name w:val="Unresolved Mention"/>
    <w:basedOn w:val="DefaultParagraphFont"/>
    <w:uiPriority w:val="99"/>
    <w:semiHidden/>
    <w:unhideWhenUsed/>
    <w:rsid w:val="003A7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31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trujillo@cabq.gov" TargetMode="External"/><Relationship Id="rId3" Type="http://schemas.openxmlformats.org/officeDocument/2006/relationships/webSettings" Target="webSettings.xml"/><Relationship Id="rId7" Type="http://schemas.openxmlformats.org/officeDocument/2006/relationships/hyperlink" Target="https://www.cabq.gov/civilrigh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bq.gov/airquality/air-quality-permit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879</Words>
  <Characters>4805</Characters>
  <Application>Microsoft Office Word</Application>
  <DocSecurity>2</DocSecurity>
  <Lines>111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Munoz-Dyer, Carina G.</dc:creator>
  <cp:keywords/>
  <dc:description/>
  <cp:lastModifiedBy>Georgitsis, Barbara A.</cp:lastModifiedBy>
  <cp:revision>26</cp:revision>
  <cp:lastPrinted>2023-09-11T19:25:00Z</cp:lastPrinted>
  <dcterms:created xsi:type="dcterms:W3CDTF">2023-04-07T18:54:00Z</dcterms:created>
  <dcterms:modified xsi:type="dcterms:W3CDTF">2023-10-03T18:07:00Z</dcterms:modified>
</cp:coreProperties>
</file>